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DB03" w14:textId="1AA3DEF6" w:rsidR="001B2A82" w:rsidRDefault="001B2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Plan</w:t>
      </w:r>
    </w:p>
    <w:p w14:paraId="1BAD4070" w14:textId="472D4F62" w:rsidR="0003625B" w:rsidRDefault="00036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Jaspal Singh</w:t>
      </w:r>
    </w:p>
    <w:p w14:paraId="22BCC530" w14:textId="346188EF" w:rsidR="001B2A82" w:rsidRDefault="001B2A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2A82">
        <w:rPr>
          <w:rFonts w:ascii="Times New Roman" w:hAnsi="Times New Roman" w:cs="Times New Roman"/>
          <w:b/>
          <w:bCs/>
          <w:sz w:val="24"/>
          <w:szCs w:val="24"/>
        </w:rPr>
        <w:t>Paper: Radio and Cinema in India: A Social History</w:t>
      </w:r>
    </w:p>
    <w:p w14:paraId="1CCEFA50" w14:textId="5CC40699" w:rsidR="001B2A82" w:rsidRPr="001B2A82" w:rsidRDefault="001B2A82">
      <w:pPr>
        <w:rPr>
          <w:rFonts w:ascii="Times New Roman" w:hAnsi="Times New Roman" w:cs="Times New Roman"/>
          <w:sz w:val="24"/>
          <w:szCs w:val="24"/>
        </w:rPr>
      </w:pPr>
      <w:r w:rsidRPr="001B2A82">
        <w:rPr>
          <w:rFonts w:ascii="Times New Roman" w:hAnsi="Times New Roman" w:cs="Times New Roman"/>
          <w:sz w:val="24"/>
          <w:szCs w:val="24"/>
        </w:rPr>
        <w:t>Skill Enhancement Course Semester VI</w:t>
      </w:r>
    </w:p>
    <w:p w14:paraId="7DC12992" w14:textId="304B3B8B" w:rsid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>SEC-VIII</w:t>
      </w:r>
    </w:p>
    <w:p w14:paraId="51380E46" w14:textId="6E388209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Sharing Paper with Dr Jaspal Singh and Mr. Nagendra Kumar</w:t>
      </w:r>
    </w:p>
    <w:p w14:paraId="13CB2233" w14:textId="14116EB6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</w:p>
    <w:p w14:paraId="72EBC87B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Course Objectives: </w:t>
      </w:r>
    </w:p>
    <w:p w14:paraId="5A76FB3C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The course will apprise students with the elementary outlines of the history of radio and cinema </w:t>
      </w:r>
    </w:p>
    <w:p w14:paraId="21912403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in India from its beginnings till the 1980s. It will familiarize them with the varied ways in which </w:t>
      </w:r>
    </w:p>
    <w:p w14:paraId="581F3A31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the Indian state attempted to regulate and conduct radio broadcasting during and after the </w:t>
      </w:r>
    </w:p>
    <w:p w14:paraId="41083EFF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colonial period. It will also impart an understanding of the basic trends in the development of </w:t>
      </w:r>
    </w:p>
    <w:p w14:paraId="74658444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cinema as a narrative medium that drew from diverse traditions of story-telling already present in </w:t>
      </w:r>
    </w:p>
    <w:p w14:paraId="7590176A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the subcontinent. The material as well as the generic contexts of these developments would also </w:t>
      </w:r>
    </w:p>
    <w:p w14:paraId="33DF414F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be made comprehensible to the students. </w:t>
      </w:r>
    </w:p>
    <w:p w14:paraId="16D93AA9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Learning Outcomes: </w:t>
      </w:r>
    </w:p>
    <w:p w14:paraId="26AC1966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>Upon successful completion of course students shall be able to:</w:t>
      </w:r>
    </w:p>
    <w:p w14:paraId="335713C8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• Delineate the historical context within which the beginnings of cinema and radio might </w:t>
      </w:r>
    </w:p>
    <w:p w14:paraId="2E9E9C33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be understood. </w:t>
      </w:r>
    </w:p>
    <w:p w14:paraId="15DB2161" w14:textId="09C81F02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• </w:t>
      </w:r>
      <w:r w:rsidRPr="0003625B">
        <w:rPr>
          <w:rFonts w:ascii="Times New Roman" w:hAnsi="Times New Roman" w:cs="Times New Roman"/>
          <w:sz w:val="24"/>
          <w:szCs w:val="24"/>
        </w:rPr>
        <w:t>Analyze</w:t>
      </w:r>
      <w:r w:rsidRPr="0003625B">
        <w:rPr>
          <w:rFonts w:ascii="Times New Roman" w:hAnsi="Times New Roman" w:cs="Times New Roman"/>
          <w:sz w:val="24"/>
          <w:szCs w:val="24"/>
        </w:rPr>
        <w:t xml:space="preserve"> the state’s attempt to control and deploy radio as a medium that carried forward </w:t>
      </w:r>
    </w:p>
    <w:p w14:paraId="129C3958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the state agenda. </w:t>
      </w:r>
    </w:p>
    <w:p w14:paraId="0E5093CD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• Explain how cinema reflected and engaged with the larger ideological and material </w:t>
      </w:r>
    </w:p>
    <w:p w14:paraId="4442E71B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tensions of society even as it was also subject to technological changes that helped </w:t>
      </w:r>
    </w:p>
    <w:p w14:paraId="55A8C329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mediate these developments. </w:t>
      </w:r>
    </w:p>
    <w:p w14:paraId="4653D941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• Identify how Indian cinema engaged with social and ideological issues of its time, </w:t>
      </w:r>
    </w:p>
    <w:p w14:paraId="19C278E5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especially in the three decades after independence. </w:t>
      </w:r>
    </w:p>
    <w:p w14:paraId="54A49A58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71D58" w14:textId="77777777" w:rsid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</w:p>
    <w:p w14:paraId="49C201CD" w14:textId="128943B4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lastRenderedPageBreak/>
        <w:t xml:space="preserve">Course Content: </w:t>
      </w:r>
    </w:p>
    <w:p w14:paraId="32CBFB87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Unit 1: Broadcasting in India (Colonial period) </w:t>
      </w:r>
    </w:p>
    <w:p w14:paraId="567D2CA7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a. Colonial Foundations in Inter-War Years </w:t>
      </w:r>
    </w:p>
    <w:p w14:paraId="1B26EEDE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b. AIR Programming, Policies and Propaganda </w:t>
      </w:r>
    </w:p>
    <w:p w14:paraId="3FA67937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c. Quit India Movement and Congress Radio </w:t>
      </w:r>
    </w:p>
    <w:p w14:paraId="70850027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Unit 2: Establishment and Expansion of 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Akashvani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 xml:space="preserve"> under 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Keskar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3DBD1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a. Classical vs. Popular </w:t>
      </w:r>
    </w:p>
    <w:p w14:paraId="46F4C04F" w14:textId="08E1755B" w:rsid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b. ‘Ban’ on Film Music; Radio Ceylon, 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VividhBharati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FCEB1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</w:p>
    <w:p w14:paraId="3682794E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Unit 3: Early Years of Indian Cinema </w:t>
      </w:r>
    </w:p>
    <w:p w14:paraId="467480AC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a. Silent era to Talkies: Social, Historical, Mythological and Action </w:t>
      </w:r>
    </w:p>
    <w:p w14:paraId="7E79306E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b. Women enter Films </w:t>
      </w:r>
    </w:p>
    <w:p w14:paraId="0A43E606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c. Studio Era: AVM and Gemini Studios </w:t>
      </w:r>
    </w:p>
    <w:p w14:paraId="3D4EF0B0" w14:textId="58C30273" w:rsid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d. Colonial Censorship and Patriotic Creativity </w:t>
      </w:r>
    </w:p>
    <w:p w14:paraId="4C41D190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</w:p>
    <w:p w14:paraId="187461B0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Unit 4: Social Films of Nehruvian Era and its Aftermath </w:t>
      </w:r>
    </w:p>
    <w:p w14:paraId="43D456EF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a. Angry Young Man, Melodrama </w:t>
      </w:r>
    </w:p>
    <w:p w14:paraId="4417D8EE" w14:textId="5D5A43E0" w:rsid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b. Music: song genres </w:t>
      </w:r>
    </w:p>
    <w:p w14:paraId="6AEAD265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</w:p>
    <w:p w14:paraId="61E9EE96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ESSENTIAL READINGS AND UNIT-WISE TEACHING OUTCOMES: </w:t>
      </w:r>
    </w:p>
    <w:p w14:paraId="6672DF4F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Unit I: At the end of this unit, the students should be able to describe the complex trajectories of </w:t>
      </w:r>
    </w:p>
    <w:p w14:paraId="5FEDCC56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the development of Radio under the colonial government. (Teaching Time: 4 Weeks Approx.) </w:t>
      </w:r>
    </w:p>
    <w:p w14:paraId="40C4FC00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• Gupta, 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Parthasarathi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 xml:space="preserve">. (2001). "Radio and the 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Raj."Power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 xml:space="preserve">, Politics and the People: Studies </w:t>
      </w:r>
    </w:p>
    <w:p w14:paraId="60045009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in British Imperialism and Indian Nationalism. New Delhi: Permanent Black. Pp. 447-80. </w:t>
      </w:r>
    </w:p>
    <w:p w14:paraId="207F406A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Lelyveld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 xml:space="preserve">, David. (1995). "Upon the Subdominant: Administering Music on All India </w:t>
      </w:r>
    </w:p>
    <w:p w14:paraId="4CD6DF80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Radio.” Social Text vol. 39, pp. 111-27. </w:t>
      </w:r>
    </w:p>
    <w:p w14:paraId="6A4905CB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• Pinkerton, Alasdair. (2008). "Radio and the Raj: Broadcasting in British India, </w:t>
      </w:r>
    </w:p>
    <w:p w14:paraId="0E7023DA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1920-1940.” Journal of the Royal Asiatic Society no. 18 no.2, pp. 167-91. </w:t>
      </w:r>
    </w:p>
    <w:p w14:paraId="7F1C1345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lastRenderedPageBreak/>
        <w:t xml:space="preserve">Unit II: Having completed this unit, the students will be able to demonstrate their knowledge of </w:t>
      </w:r>
    </w:p>
    <w:p w14:paraId="731C3D4B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how All India Radio’s programming policies especially vis-à-vis music shaped up immediately </w:t>
      </w:r>
    </w:p>
    <w:p w14:paraId="1D685092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before and after the independence. (Teaching Time: 4 weeks approx.) </w:t>
      </w:r>
    </w:p>
    <w:p w14:paraId="45E7C14A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Kripalani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Coonoor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 xml:space="preserve">. (2018). "All India Radio's Glory Days and Its Search for Autonomy.” </w:t>
      </w:r>
    </w:p>
    <w:p w14:paraId="66EEFBF6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Economic and Political Weekly vol. 53 no.37, pp. 42-50. </w:t>
      </w:r>
    </w:p>
    <w:p w14:paraId="79450287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Jhingan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 xml:space="preserve">, Shikha. (2011). "Re-embodying the Classical: The Bombay Film Song in the </w:t>
      </w:r>
    </w:p>
    <w:p w14:paraId="677EE00A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1950s.” Bioscope vol. 2 no.2, pp. 157-79. </w:t>
      </w:r>
    </w:p>
    <w:p w14:paraId="0965C829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Unit III: After finishing this unit, the learners would be able to trace the development of Indian </w:t>
      </w:r>
    </w:p>
    <w:p w14:paraId="20BC8F49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cinema in its early years, especially as it advanced from the silent era to talkies, and as it </w:t>
      </w:r>
    </w:p>
    <w:p w14:paraId="7CD19472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experimented with different forms and genres. (Teaching Time: 4 weeks approx.) </w:t>
      </w:r>
    </w:p>
    <w:p w14:paraId="0F38CAB5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Rajadhyaksha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 xml:space="preserve">, Ashish. (2016). Indian Cinema: A Very Short Introduction. Delhi: Oxford </w:t>
      </w:r>
    </w:p>
    <w:p w14:paraId="10C54DCF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University Press. </w:t>
      </w:r>
    </w:p>
    <w:p w14:paraId="7C46BFAF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Barnouw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 xml:space="preserve">, Erik and Subrahmanyam Krishnaswamy. (1963). Indian Film. New York: </w:t>
      </w:r>
    </w:p>
    <w:p w14:paraId="41349356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Columbia University Press. (The book is more accessible in its many Indian reprints by </w:t>
      </w:r>
    </w:p>
    <w:p w14:paraId="19052056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Indian publishers.) </w:t>
      </w:r>
    </w:p>
    <w:p w14:paraId="74B651C4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• Lakshmi, C.S. (2008). "A Good Woman, A Very Good Woman: Tamil Cinema’s Women." </w:t>
      </w:r>
    </w:p>
    <w:p w14:paraId="116BB3D5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in Selvaraj 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Velayutham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 xml:space="preserve">. Tamil Cinema: The Cultural Politics of India’s Other Film </w:t>
      </w:r>
    </w:p>
    <w:p w14:paraId="6BDEADF2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Industry. Oxford: Routledge, pp. 16-29. </w:t>
      </w:r>
    </w:p>
    <w:p w14:paraId="58C40643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>133</w:t>
      </w:r>
    </w:p>
    <w:p w14:paraId="73312129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• Mohan, Reena and 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Dibya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Choudhuri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 xml:space="preserve">. (1996). "Of Wayward Girls and Wicket Women: </w:t>
      </w:r>
    </w:p>
    <w:p w14:paraId="3ED22685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Women in Indian Silent Feature Films, 1913-1934."Deepfocus vol. VI, pp. 4-14. </w:t>
      </w:r>
    </w:p>
    <w:p w14:paraId="1F1C8347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Unit IV: At the end of the unit, the students will be able to demonstrate fair degree of familiarity </w:t>
      </w:r>
    </w:p>
    <w:p w14:paraId="23E4EECC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with how Indian cinema engaged with social and ideological issues of its time, especially in the </w:t>
      </w:r>
    </w:p>
    <w:p w14:paraId="20A9BDD6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three decades after independence. (Teaching Time: 4 weeks approx.) </w:t>
      </w:r>
    </w:p>
    <w:p w14:paraId="2AE47749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• Prasad, Madhava. (1998). "The Aesthetic of Mobilization.” The Ideology of the Hindi </w:t>
      </w:r>
    </w:p>
    <w:p w14:paraId="19C0FC5F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Film: A Historical Reconstruction. Delhi: Oxford University Press, pp. 138-159. </w:t>
      </w:r>
    </w:p>
    <w:p w14:paraId="1B9E7B9E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Punathambekar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 xml:space="preserve">, Aswin. (2010). "From Indiafm.com to Radio Ceylon: New media and the </w:t>
      </w:r>
    </w:p>
    <w:p w14:paraId="29F90B3B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making of the Hindi film 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industry."Media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 xml:space="preserve">, Culture and Society vol. 32 no.5, pp. 841-57. </w:t>
      </w:r>
    </w:p>
    <w:p w14:paraId="52309E10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Doraiswamy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>, Rashmi. (2008). "The Golden Fifties."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Gurudutt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 xml:space="preserve">: through Light and Shade. </w:t>
      </w:r>
    </w:p>
    <w:p w14:paraId="2E2CBE87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New Delhi: Wisdom Tree, pp. 7-27. </w:t>
      </w:r>
    </w:p>
    <w:p w14:paraId="05961E68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• Griffiths, Alison. (1996). "Discourses of Nationalism in Guru 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Dutt’s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Pyaasa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>."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Deepfocus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B193BB1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vol. 6, pp. 24-31. </w:t>
      </w:r>
    </w:p>
    <w:p w14:paraId="4213F32E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Suggested Readings: </w:t>
      </w:r>
    </w:p>
    <w:p w14:paraId="12650B8C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• Mishra, Vijay. (2002). Bollywood Cinema: Temples of Desire. New York: Routledge. (See </w:t>
      </w:r>
    </w:p>
    <w:p w14:paraId="4978B98C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especially the chapters entitled "Inventing Bombay Cinema" and "Melodramatic </w:t>
      </w:r>
    </w:p>
    <w:p w14:paraId="377318D6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Staging".) </w:t>
      </w:r>
    </w:p>
    <w:p w14:paraId="558C8F93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• Pandian, M.S.S. (2015). The Image Trap: MG Ramachandran in Film and Politics. </w:t>
      </w:r>
    </w:p>
    <w:p w14:paraId="0C6CDF56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Delhi: Sage. </w:t>
      </w:r>
    </w:p>
    <w:p w14:paraId="47C08D0E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• Pillai, 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Swarnavel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 xml:space="preserve"> Eswaran. (2015). Madras Studios: Narrative, Genre and Ideology in </w:t>
      </w:r>
    </w:p>
    <w:p w14:paraId="40F02F5F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Tamil Cinema. Delhi: Sage. </w:t>
      </w:r>
    </w:p>
    <w:p w14:paraId="59562ED2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• Raghavendra, M.K. (2016). Bollywood. Delhi: Oxford University Press. </w:t>
      </w:r>
    </w:p>
    <w:p w14:paraId="5A4F09ED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Rajadhyaksha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 xml:space="preserve">, Ashish and Paul 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Willemen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 xml:space="preserve"> (Eds.). (1994). </w:t>
      </w:r>
      <w:proofErr w:type="spellStart"/>
      <w:r w:rsidRPr="0003625B">
        <w:rPr>
          <w:rFonts w:ascii="Times New Roman" w:hAnsi="Times New Roman" w:cs="Times New Roman"/>
          <w:sz w:val="24"/>
          <w:szCs w:val="24"/>
        </w:rPr>
        <w:t>Encyclopaedia</w:t>
      </w:r>
      <w:proofErr w:type="spellEnd"/>
      <w:r w:rsidRPr="0003625B">
        <w:rPr>
          <w:rFonts w:ascii="Times New Roman" w:hAnsi="Times New Roman" w:cs="Times New Roman"/>
          <w:sz w:val="24"/>
          <w:szCs w:val="24"/>
        </w:rPr>
        <w:t xml:space="preserve"> of Indian </w:t>
      </w:r>
    </w:p>
    <w:p w14:paraId="253CA88F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Cinema. Delhi: Oxford University Press. </w:t>
      </w:r>
    </w:p>
    <w:p w14:paraId="231B3929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Teaching Learning Process: </w:t>
      </w:r>
    </w:p>
    <w:p w14:paraId="666CB11C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Classroom lectures on the key concepts, case studies and important arguments/debates reflected </w:t>
      </w:r>
    </w:p>
    <w:p w14:paraId="72D3697E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in the course readings. Classroom lectures shall be combined with group discussions on specific </w:t>
      </w:r>
    </w:p>
    <w:p w14:paraId="3382FD50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readings and presentations stemming from field work. Overall, the Teaching Learning Process </w:t>
      </w:r>
    </w:p>
    <w:p w14:paraId="433CA753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shall be geared towards closely linking essential theoretical assessments with active practical </w:t>
      </w:r>
    </w:p>
    <w:p w14:paraId="08EBFD03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work, </w:t>
      </w:r>
      <w:proofErr w:type="gramStart"/>
      <w:r w:rsidRPr="0003625B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Pr="0003625B">
        <w:rPr>
          <w:rFonts w:ascii="Times New Roman" w:hAnsi="Times New Roman" w:cs="Times New Roman"/>
          <w:sz w:val="24"/>
          <w:szCs w:val="24"/>
        </w:rPr>
        <w:t xml:space="preserve"> the practical/application aspect of historical analysis. Moreover, the process shall work </w:t>
      </w:r>
    </w:p>
    <w:p w14:paraId="6056181B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towards providing basic exposure to related fields of studies connected to the discipline history </w:t>
      </w:r>
    </w:p>
    <w:p w14:paraId="106EFA43" w14:textId="71F72ED4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>and to avenues of interdisciplinary postgraduate studies.</w:t>
      </w:r>
    </w:p>
    <w:p w14:paraId="0C83888D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Assessment Methods: </w:t>
      </w:r>
    </w:p>
    <w:p w14:paraId="2D1A4325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Students will be assessed on the basis of regular group presentations and a detailed (individual) </w:t>
      </w:r>
    </w:p>
    <w:p w14:paraId="638EA593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project submission-cum-presentation. The project has to be based on a field visit/field work but </w:t>
      </w:r>
    </w:p>
    <w:p w14:paraId="7272EF03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may not exclude readings. </w:t>
      </w:r>
    </w:p>
    <w:p w14:paraId="1EFBFD98" w14:textId="77777777" w:rsid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</w:p>
    <w:p w14:paraId="3E483489" w14:textId="4D966DB8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lastRenderedPageBreak/>
        <w:t xml:space="preserve">Internal Assessment: 25 Marks </w:t>
      </w:r>
    </w:p>
    <w:p w14:paraId="73143BB7" w14:textId="77777777" w:rsidR="0003625B" w:rsidRPr="0003625B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Written Exam: 75 Marks </w:t>
      </w:r>
    </w:p>
    <w:p w14:paraId="59E80054" w14:textId="6A43D46A" w:rsidR="001B2A82" w:rsidRPr="001B2A82" w:rsidRDefault="0003625B" w:rsidP="0003625B">
      <w:pPr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>Total: 100 Marks</w:t>
      </w:r>
    </w:p>
    <w:sectPr w:rsidR="001B2A82" w:rsidRPr="001B2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82"/>
    <w:rsid w:val="0003625B"/>
    <w:rsid w:val="001B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2F891"/>
  <w15:chartTrackingRefBased/>
  <w15:docId w15:val="{59D48DA6-6EE5-4BD4-B995-A24491B4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2022-12-12T12:09:00Z</dcterms:created>
  <dcterms:modified xsi:type="dcterms:W3CDTF">2022-12-12T12:30:00Z</dcterms:modified>
</cp:coreProperties>
</file>