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20" w:rsidRDefault="00742E20" w:rsidP="00742E20">
      <w:pPr>
        <w:jc w:val="center"/>
        <w:rPr>
          <w:rFonts w:ascii="Times New Roman" w:hAnsi="Times New Roman" w:cs="Times New Roman"/>
          <w:sz w:val="24"/>
          <w:szCs w:val="24"/>
        </w:rPr>
      </w:pPr>
      <w:r w:rsidRPr="00F34381">
        <w:rPr>
          <w:rFonts w:ascii="Times New Roman" w:hAnsi="Times New Roman" w:cs="Times New Roman"/>
          <w:sz w:val="24"/>
          <w:szCs w:val="24"/>
        </w:rPr>
        <w:t>Tea</w:t>
      </w:r>
      <w:r>
        <w:rPr>
          <w:rFonts w:ascii="Times New Roman" w:hAnsi="Times New Roman" w:cs="Times New Roman"/>
          <w:sz w:val="24"/>
          <w:szCs w:val="24"/>
        </w:rPr>
        <w:t>ching Plan for the session (2021-22</w:t>
      </w:r>
      <w:r w:rsidRPr="00F343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E20" w:rsidRPr="00F34381" w:rsidRDefault="00742E20" w:rsidP="00742E2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odd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semester July 2021-December 2021</w:t>
      </w:r>
    </w:p>
    <w:p w:rsidR="00742E20" w:rsidRPr="00F34381" w:rsidRDefault="00742E20" w:rsidP="00742E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(BA History </w:t>
      </w:r>
      <w:proofErr w:type="spellStart"/>
      <w:r>
        <w:rPr>
          <w:rFonts w:ascii="Times New Roman" w:hAnsi="Times New Roman" w:cs="Times New Roman"/>
          <w:sz w:val="24"/>
          <w:szCs w:val="24"/>
        </w:rPr>
        <w:t>Hons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F34381">
        <w:rPr>
          <w:rFonts w:ascii="Times New Roman" w:hAnsi="Times New Roman" w:cs="Times New Roman"/>
          <w:sz w:val="24"/>
          <w:szCs w:val="24"/>
        </w:rPr>
        <w:t xml:space="preserve"> semester)</w:t>
      </w:r>
    </w:p>
    <w:p w:rsidR="00742E20" w:rsidRPr="0030306B" w:rsidRDefault="00742E20" w:rsidP="00742E20">
      <w:pPr>
        <w:rPr>
          <w:rFonts w:ascii="Times New Roman" w:hAnsi="Times New Roman" w:cs="Times New Roman"/>
          <w:sz w:val="24"/>
          <w:szCs w:val="24"/>
        </w:rPr>
      </w:pPr>
      <w:r w:rsidRPr="0030306B">
        <w:rPr>
          <w:rFonts w:ascii="Times New Roman" w:hAnsi="Times New Roman" w:cs="Times New Roman"/>
          <w:sz w:val="24"/>
          <w:szCs w:val="24"/>
        </w:rPr>
        <w:t xml:space="preserve">This paper is shared with </w:t>
      </w:r>
      <w:proofErr w:type="spellStart"/>
      <w:r w:rsidRPr="00FE1FC5">
        <w:rPr>
          <w:rFonts w:ascii="Times New Roman" w:hAnsi="Times New Roman" w:cs="Times New Roman"/>
          <w:b/>
          <w:sz w:val="24"/>
          <w:szCs w:val="24"/>
        </w:rPr>
        <w:t>Mr</w:t>
      </w:r>
      <w:proofErr w:type="spellEnd"/>
      <w:r w:rsidRPr="00FE1FC5">
        <w:rPr>
          <w:rFonts w:ascii="Times New Roman" w:hAnsi="Times New Roman" w:cs="Times New Roman"/>
          <w:b/>
          <w:sz w:val="24"/>
          <w:szCs w:val="24"/>
        </w:rPr>
        <w:t xml:space="preserve"> Levin </w:t>
      </w:r>
      <w:proofErr w:type="spellStart"/>
      <w:r w:rsidRPr="00FE1FC5">
        <w:rPr>
          <w:rFonts w:ascii="Times New Roman" w:hAnsi="Times New Roman" w:cs="Times New Roman"/>
          <w:b/>
          <w:sz w:val="24"/>
          <w:szCs w:val="24"/>
        </w:rPr>
        <w:t>n.r</w:t>
      </w:r>
      <w:proofErr w:type="spellEnd"/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</w:rPr>
        <w:t xml:space="preserve">PAPER:  </w:t>
      </w:r>
      <w:r w:rsidRPr="0030306B">
        <w:rPr>
          <w:rFonts w:ascii="Times New Roman" w:hAnsi="Times New Roman" w:cs="Times New Roman"/>
          <w:b/>
          <w:bCs/>
          <w:sz w:val="24"/>
          <w:szCs w:val="24"/>
          <w:lang w:val="en-IN"/>
        </w:rPr>
        <w:t>DSE-IV</w:t>
      </w:r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30306B">
        <w:rPr>
          <w:rFonts w:ascii="Times New Roman" w:hAnsi="Times New Roman" w:cs="Times New Roman"/>
          <w:b/>
          <w:bCs/>
          <w:sz w:val="24"/>
          <w:szCs w:val="24"/>
          <w:lang w:val="en-IN"/>
        </w:rPr>
        <w:t>Gender in Indian History up to 1500 CE</w:t>
      </w:r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742E20" w:rsidRPr="0030306B" w:rsidRDefault="00742E20" w:rsidP="00742E20">
      <w:pPr>
        <w:rPr>
          <w:rFonts w:ascii="Times New Roman" w:hAnsi="Times New Roman" w:cs="Times New Roman"/>
          <w:sz w:val="24"/>
          <w:szCs w:val="24"/>
        </w:rPr>
      </w:pPr>
      <w:r w:rsidRPr="0030306B">
        <w:rPr>
          <w:rFonts w:ascii="Times New Roman" w:hAnsi="Times New Roman" w:cs="Times New Roman"/>
          <w:sz w:val="24"/>
          <w:szCs w:val="24"/>
        </w:rPr>
        <w:t>SEMESTER: V</w:t>
      </w:r>
    </w:p>
    <w:p w:rsidR="00742E20" w:rsidRPr="0030306B" w:rsidRDefault="00742E20" w:rsidP="00742E20">
      <w:pPr>
        <w:rPr>
          <w:rFonts w:ascii="Times New Roman" w:hAnsi="Times New Roman" w:cs="Times New Roman"/>
          <w:sz w:val="24"/>
          <w:szCs w:val="24"/>
        </w:rPr>
      </w:pPr>
      <w:r w:rsidRPr="0030306B">
        <w:rPr>
          <w:rFonts w:ascii="Times New Roman" w:hAnsi="Times New Roman" w:cs="Times New Roman"/>
          <w:sz w:val="24"/>
          <w:szCs w:val="24"/>
        </w:rPr>
        <w:t>SESSION: 2021-22 (odd semester)</w:t>
      </w:r>
    </w:p>
    <w:p w:rsidR="00742E20" w:rsidRPr="0030306B" w:rsidRDefault="00742E20" w:rsidP="00742E20">
      <w:pPr>
        <w:rPr>
          <w:rFonts w:ascii="Times New Roman" w:hAnsi="Times New Roman" w:cs="Times New Roman"/>
          <w:sz w:val="24"/>
          <w:szCs w:val="24"/>
        </w:rPr>
      </w:pPr>
      <w:r w:rsidRPr="0030306B">
        <w:rPr>
          <w:rFonts w:ascii="Times New Roman" w:hAnsi="Times New Roman" w:cs="Times New Roman"/>
          <w:sz w:val="24"/>
          <w:szCs w:val="24"/>
        </w:rPr>
        <w:t>TEACHER NAME</w:t>
      </w:r>
      <w:r w:rsidRPr="00FE1FC5">
        <w:rPr>
          <w:rFonts w:ascii="Times New Roman" w:hAnsi="Times New Roman" w:cs="Times New Roman"/>
          <w:b/>
          <w:sz w:val="24"/>
          <w:szCs w:val="24"/>
        </w:rPr>
        <w:t xml:space="preserve">: Dr </w:t>
      </w:r>
      <w:proofErr w:type="spellStart"/>
      <w:r w:rsidRPr="00FE1FC5">
        <w:rPr>
          <w:rFonts w:ascii="Times New Roman" w:hAnsi="Times New Roman" w:cs="Times New Roman"/>
          <w:b/>
          <w:sz w:val="24"/>
          <w:szCs w:val="24"/>
        </w:rPr>
        <w:t>Madhuri</w:t>
      </w:r>
      <w:proofErr w:type="spellEnd"/>
      <w:r w:rsidRPr="00FE1FC5">
        <w:rPr>
          <w:rFonts w:ascii="Times New Roman" w:hAnsi="Times New Roman" w:cs="Times New Roman"/>
          <w:b/>
          <w:sz w:val="24"/>
          <w:szCs w:val="24"/>
        </w:rPr>
        <w:t xml:space="preserve"> Sharma</w:t>
      </w:r>
    </w:p>
    <w:p w:rsidR="00742E20" w:rsidRPr="0030306B" w:rsidRDefault="00742E20" w:rsidP="00742E20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06B">
        <w:rPr>
          <w:rFonts w:ascii="Times New Roman" w:hAnsi="Times New Roman" w:cs="Times New Roman"/>
          <w:sz w:val="24"/>
          <w:szCs w:val="24"/>
        </w:rPr>
        <w:t>SYLLABUS</w:t>
      </w:r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b/>
          <w:bCs/>
          <w:sz w:val="24"/>
          <w:szCs w:val="24"/>
          <w:lang w:val="en-IN"/>
        </w:rPr>
        <w:t>Unit I: Theories and concepts</w:t>
      </w:r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[</w:t>
      </w: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a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>] Gender: a tool of historical analysis</w:t>
      </w:r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[b] Understanding Origins and Structures of patriarchy</w:t>
      </w:r>
    </w:p>
    <w:p w:rsidR="0030306B" w:rsidRDefault="0030306B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b/>
          <w:bCs/>
          <w:sz w:val="24"/>
          <w:szCs w:val="24"/>
          <w:lang w:val="en-IN"/>
        </w:rPr>
        <w:t>Unit II: Aspects of Gender: Politics, Power and Household</w:t>
      </w:r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[</w:t>
      </w: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a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>] Economic and Social Roles: household, patronage and Property</w:t>
      </w:r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[b] Women and Power: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Raẓiyya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and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Rudramadevi</w:t>
      </w:r>
      <w:proofErr w:type="spellEnd"/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[c] Questions of Sexualities</w:t>
      </w:r>
    </w:p>
    <w:p w:rsidR="0030306B" w:rsidRDefault="0030306B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b/>
          <w:bCs/>
          <w:sz w:val="24"/>
          <w:szCs w:val="24"/>
          <w:lang w:val="en-IN"/>
        </w:rPr>
        <w:t>Unit III: Gender, Representation and Literature</w:t>
      </w:r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[</w:t>
      </w: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a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] Religious Literature in the early period: Vedic, Buddhist and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Puranic</w:t>
      </w:r>
      <w:proofErr w:type="spellEnd"/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[b] Love and Manliness in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Hindawi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Romances; case studies of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Padmavat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Purushpariksha</w:t>
      </w:r>
      <w:proofErr w:type="spellEnd"/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and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histories of Mira [c] Representations of the Divine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Feminine:Virasaivism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WarkariPanths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Korravai-Durga</w:t>
      </w:r>
      <w:proofErr w:type="spellEnd"/>
      <w:r w:rsid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in Tamil Traditions</w:t>
      </w:r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742E20" w:rsidRDefault="00742E20" w:rsidP="00742E20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06B">
        <w:rPr>
          <w:rFonts w:ascii="Times New Roman" w:hAnsi="Times New Roman" w:cs="Times New Roman"/>
          <w:b/>
          <w:sz w:val="24"/>
          <w:szCs w:val="24"/>
        </w:rPr>
        <w:t xml:space="preserve">COURSE DESCRIPTION </w:t>
      </w:r>
    </w:p>
    <w:p w:rsidR="0030306B" w:rsidRPr="0030306B" w:rsidRDefault="0030306B" w:rsidP="00742E20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2E20" w:rsidRPr="0030306B" w:rsidRDefault="00742E20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The course teaches how ‘Gender’ is not an innocent term denoting biological differences but a</w:t>
      </w:r>
      <w:r w:rsid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social and culturally constructed unequal relationship that needs careful historical analysis in the</w:t>
      </w:r>
      <w:r w:rsid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context of Indian history. The focus is not merely on studying ‘women’s history’ but to go beyond</w:t>
      </w:r>
      <w:r w:rsid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and explore aspects of masculinities as well as alternative sexualities, spanning temporal</w:t>
      </w:r>
      <w:r w:rsid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frames from prehistory to 1500 CE. There is an added emphasis on learning inter-disciplinary</w:t>
      </w:r>
      <w:r w:rsid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analytical tools and frames of analysis concerning familiar topics such as class, caste, and environment</w:t>
      </w:r>
      <w:r w:rsid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that enriches an understanding of historical processes.</w:t>
      </w:r>
    </w:p>
    <w:p w:rsidR="00742E20" w:rsidRPr="0030306B" w:rsidRDefault="00742E20" w:rsidP="00742E20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en-IN"/>
        </w:rPr>
      </w:pPr>
    </w:p>
    <w:p w:rsidR="00742E20" w:rsidRPr="0030306B" w:rsidRDefault="00742E20" w:rsidP="00742E20">
      <w:pPr>
        <w:tabs>
          <w:tab w:val="left" w:pos="420"/>
        </w:tabs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30306B" w:rsidRDefault="0030306B" w:rsidP="00742E20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06B" w:rsidRDefault="0030306B" w:rsidP="00742E20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06B" w:rsidRPr="0030306B" w:rsidRDefault="00742E20" w:rsidP="00742E20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0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TEACHING TIME  </w:t>
      </w:r>
    </w:p>
    <w:p w:rsidR="0030306B" w:rsidRDefault="0030306B" w:rsidP="00742E20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E20" w:rsidRPr="0030306B" w:rsidRDefault="00742E20" w:rsidP="00742E20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</w:rPr>
        <w:t>(No.</w:t>
      </w:r>
      <w:proofErr w:type="gramEnd"/>
      <w:r w:rsidRPr="0030306B">
        <w:rPr>
          <w:rFonts w:ascii="Times New Roman" w:hAnsi="Times New Roman" w:cs="Times New Roman"/>
          <w:sz w:val="24"/>
          <w:szCs w:val="24"/>
        </w:rPr>
        <w:t xml:space="preserve"> Of Weeks) 16weeks- 5+1 credits</w:t>
      </w:r>
    </w:p>
    <w:p w:rsidR="00742E20" w:rsidRPr="0030306B" w:rsidRDefault="00742E20" w:rsidP="00742E20">
      <w:pPr>
        <w:tabs>
          <w:tab w:val="left" w:pos="420"/>
        </w:tabs>
        <w:ind w:left="420"/>
        <w:rPr>
          <w:rFonts w:ascii="Times New Roman" w:hAnsi="Times New Roman" w:cs="Times New Roman"/>
          <w:sz w:val="24"/>
          <w:szCs w:val="24"/>
        </w:rPr>
      </w:pPr>
      <w:r w:rsidRPr="0030306B">
        <w:rPr>
          <w:rFonts w:ascii="Times New Roman" w:hAnsi="Times New Roman" w:cs="Times New Roman"/>
          <w:sz w:val="24"/>
          <w:szCs w:val="24"/>
        </w:rPr>
        <w:t xml:space="preserve"> The six credit course will comprise of theory classes (five credits) and tutorials (one credit). </w:t>
      </w:r>
    </w:p>
    <w:p w:rsidR="00742E20" w:rsidRPr="0030306B" w:rsidRDefault="00742E20" w:rsidP="00742E20">
      <w:pPr>
        <w:tabs>
          <w:tab w:val="left" w:pos="420"/>
        </w:tabs>
        <w:ind w:left="420"/>
        <w:rPr>
          <w:rFonts w:ascii="Times New Roman" w:hAnsi="Times New Roman" w:cs="Times New Roman"/>
          <w:sz w:val="24"/>
          <w:szCs w:val="24"/>
        </w:rPr>
      </w:pPr>
      <w:r w:rsidRPr="0030306B">
        <w:rPr>
          <w:rFonts w:ascii="Times New Roman" w:hAnsi="Times New Roman" w:cs="Times New Roman"/>
          <w:sz w:val="24"/>
          <w:szCs w:val="24"/>
        </w:rPr>
        <w:t>Each credit is equivalent to one hour of class-room instruction per week</w:t>
      </w:r>
    </w:p>
    <w:p w:rsidR="00742E20" w:rsidRPr="0030306B" w:rsidRDefault="00742E20" w:rsidP="0030306B">
      <w:pPr>
        <w:tabs>
          <w:tab w:val="left" w:pos="420"/>
        </w:tabs>
        <w:ind w:left="420"/>
        <w:rPr>
          <w:rFonts w:ascii="Times New Roman" w:hAnsi="Times New Roman" w:cs="Times New Roman"/>
          <w:sz w:val="24"/>
          <w:szCs w:val="24"/>
        </w:rPr>
      </w:pPr>
      <w:r w:rsidRPr="0030306B">
        <w:rPr>
          <w:rFonts w:ascii="Times New Roman" w:hAnsi="Times New Roman" w:cs="Times New Roman"/>
          <w:sz w:val="24"/>
          <w:szCs w:val="24"/>
        </w:rPr>
        <w:t>Teaching plan is divided into 5Lectures + 3 Tutorials per week (8 hours per week)</w:t>
      </w:r>
    </w:p>
    <w:p w:rsidR="00742E20" w:rsidRPr="0030306B" w:rsidRDefault="00742E20" w:rsidP="00742E20">
      <w:pPr>
        <w:tabs>
          <w:tab w:val="left" w:pos="420"/>
        </w:tabs>
        <w:spacing w:after="0" w:line="240" w:lineRule="auto"/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</w:pPr>
      <w:r w:rsidRPr="0030306B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CLASSES:  120 Classes</w:t>
      </w:r>
    </w:p>
    <w:p w:rsidR="00742E20" w:rsidRPr="0030306B" w:rsidRDefault="00742E20" w:rsidP="00742E20">
      <w:pPr>
        <w:rPr>
          <w:rFonts w:ascii="Times New Roman" w:eastAsia="Helvetica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742E20" w:rsidRPr="0030306B" w:rsidRDefault="00742E20" w:rsidP="00742E20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06B">
        <w:rPr>
          <w:rFonts w:ascii="Times New Roman" w:hAnsi="Times New Roman" w:cs="Times New Roman"/>
          <w:b/>
          <w:sz w:val="24"/>
          <w:szCs w:val="24"/>
        </w:rPr>
        <w:t>UNIT WISE BREAK UP OF SYLLABUS</w:t>
      </w:r>
    </w:p>
    <w:p w:rsidR="0030306B" w:rsidRDefault="0030306B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b/>
          <w:bCs/>
          <w:sz w:val="24"/>
          <w:szCs w:val="24"/>
          <w:lang w:val="en-IN"/>
        </w:rPr>
        <w:t>Unit -1.</w:t>
      </w:r>
      <w:proofErr w:type="gramEnd"/>
      <w:r w:rsidRPr="0030306B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The unit should familiarise students with theoretical frames of gender and </w:t>
      </w: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patriarchy</w:t>
      </w:r>
      <w:r w:rsidR="0030306B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and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how these concepts provide tools for historical analysis.</w:t>
      </w:r>
      <w:r w:rsidRPr="0030306B">
        <w:rPr>
          <w:rFonts w:ascii="Times New Roman" w:hAnsi="Times New Roman" w:cs="Times New Roman"/>
          <w:b/>
          <w:bCs/>
          <w:sz w:val="24"/>
          <w:szCs w:val="24"/>
          <w:lang w:val="en-IN"/>
        </w:rPr>
        <w:t>(Teaching time: 3 weeks Approx.)</w:t>
      </w:r>
    </w:p>
    <w:p w:rsidR="00FE1FC5" w:rsidRDefault="00FE1FC5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[</w:t>
      </w: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a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>] Gender: a tool of historical analysis</w:t>
      </w:r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[b] Understanding Origins and Structures of patriarchy</w:t>
      </w:r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742E20" w:rsidRPr="0030306B" w:rsidRDefault="00742E20" w:rsidP="00742E20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b/>
          <w:bCs/>
          <w:sz w:val="24"/>
          <w:szCs w:val="24"/>
          <w:lang w:val="en-IN"/>
        </w:rPr>
        <w:t>Unit -2.</w:t>
      </w:r>
      <w:proofErr w:type="gramEnd"/>
      <w:r w:rsidRPr="0030306B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This section should apprise students to locate fluctuating gender relations within households,</w:t>
      </w:r>
      <w:r w:rsid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court and also explore linkages between gender, power and politics. Additionally discussion</w:t>
      </w:r>
      <w:r w:rsid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on the question of sexualities would open up vistas for a nuanced historical learning of normative</w:t>
      </w:r>
      <w:r w:rsid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and alternative sexualities as well as issues of masculinities. </w:t>
      </w:r>
      <w:proofErr w:type="gramStart"/>
      <w:r w:rsidRPr="0030306B">
        <w:rPr>
          <w:rFonts w:ascii="Times New Roman" w:hAnsi="Times New Roman" w:cs="Times New Roman"/>
          <w:b/>
          <w:bCs/>
          <w:sz w:val="24"/>
          <w:szCs w:val="24"/>
          <w:lang w:val="en-IN"/>
        </w:rPr>
        <w:t>(Teaching time: 6 weeks</w:t>
      </w:r>
      <w:r w:rsidR="0030306B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b/>
          <w:bCs/>
          <w:sz w:val="24"/>
          <w:szCs w:val="24"/>
          <w:lang w:val="en-IN"/>
        </w:rPr>
        <w:t>Approx.)</w:t>
      </w:r>
      <w:proofErr w:type="gramEnd"/>
    </w:p>
    <w:p w:rsidR="0030306B" w:rsidRPr="0030306B" w:rsidRDefault="0030306B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a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>] Economic and Social Roles: household, patronage and Property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[b] Women and Power: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Raẓiyya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and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Rudramadevi</w:t>
      </w:r>
      <w:proofErr w:type="spellEnd"/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[c] Questions of Sexualities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b/>
          <w:bCs/>
          <w:sz w:val="24"/>
          <w:szCs w:val="24"/>
          <w:lang w:val="en-IN"/>
        </w:rPr>
        <w:t>Unit -3.</w:t>
      </w:r>
      <w:proofErr w:type="gramEnd"/>
      <w:r w:rsidRPr="0030306B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The focus is on studying gender representation in literature that highlights the idea of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love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as well as manliness on the one hand and religiosity across temporal and regional spread on</w:t>
      </w:r>
    </w:p>
    <w:p w:rsid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the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other.</w:t>
      </w:r>
      <w:r w:rsidRPr="0030306B">
        <w:rPr>
          <w:rFonts w:ascii="Times New Roman" w:hAnsi="Times New Roman" w:cs="Times New Roman"/>
          <w:b/>
          <w:bCs/>
          <w:sz w:val="24"/>
          <w:szCs w:val="24"/>
          <w:lang w:val="en-IN"/>
        </w:rPr>
        <w:t>(Teaching time: 5 weeks Approx.)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[</w:t>
      </w: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a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] Religious Literature in the early period: Vedic, Buddhist and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Puranic</w:t>
      </w:r>
      <w:proofErr w:type="spellEnd"/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[b] Love and Manliness in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Hindawi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Romances; case studies of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Padmavat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Purushpariksha</w:t>
      </w:r>
      <w:proofErr w:type="spellEnd"/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and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histories of Mira [c] Representations of the Divine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Feminine:Virasaivism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WarkariPanths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Korravai-Durga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in Tamil Traditions</w:t>
      </w:r>
    </w:p>
    <w:p w:rsidR="00742E20" w:rsidRPr="0030306B" w:rsidRDefault="00742E20" w:rsidP="0030306B">
      <w:pPr>
        <w:rPr>
          <w:rFonts w:ascii="Times New Roman" w:hAnsi="Times New Roman" w:cs="Times New Roman"/>
          <w:sz w:val="24"/>
          <w:szCs w:val="24"/>
        </w:rPr>
      </w:pPr>
    </w:p>
    <w:p w:rsidR="00742E20" w:rsidRPr="0030306B" w:rsidRDefault="00742E20" w:rsidP="00742E20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06B">
        <w:rPr>
          <w:rFonts w:ascii="Times New Roman" w:hAnsi="Times New Roman" w:cs="Times New Roman"/>
          <w:b/>
          <w:sz w:val="24"/>
          <w:szCs w:val="24"/>
        </w:rPr>
        <w:t xml:space="preserve">ASSESSMENT </w:t>
      </w:r>
    </w:p>
    <w:p w:rsidR="00742E20" w:rsidRPr="0030306B" w:rsidRDefault="00742E20" w:rsidP="00742E20">
      <w:pPr>
        <w:rPr>
          <w:rFonts w:ascii="Times New Roman" w:hAnsi="Times New Roman" w:cs="Times New Roman"/>
          <w:sz w:val="24"/>
          <w:szCs w:val="24"/>
        </w:rPr>
      </w:pPr>
      <w:r w:rsidRPr="0030306B">
        <w:rPr>
          <w:rFonts w:ascii="Times New Roman" w:hAnsi="Times New Roman" w:cs="Times New Roman"/>
          <w:sz w:val="24"/>
          <w:szCs w:val="24"/>
        </w:rPr>
        <w:t xml:space="preserve">Internal Assessment: 25 Marks </w:t>
      </w:r>
    </w:p>
    <w:p w:rsidR="00742E20" w:rsidRPr="0030306B" w:rsidRDefault="00742E20" w:rsidP="00742E20">
      <w:pPr>
        <w:rPr>
          <w:rFonts w:ascii="Times New Roman" w:hAnsi="Times New Roman" w:cs="Times New Roman"/>
          <w:sz w:val="24"/>
          <w:szCs w:val="24"/>
        </w:rPr>
      </w:pPr>
      <w:r w:rsidRPr="0030306B">
        <w:rPr>
          <w:rFonts w:ascii="Times New Roman" w:hAnsi="Times New Roman" w:cs="Times New Roman"/>
          <w:sz w:val="24"/>
          <w:szCs w:val="24"/>
        </w:rPr>
        <w:t>Students will be regularly assessed for their grasp on debates and discussions covered in class. \</w:t>
      </w:r>
    </w:p>
    <w:p w:rsidR="00742E20" w:rsidRPr="0030306B" w:rsidRDefault="00742E20" w:rsidP="00742E20">
      <w:pPr>
        <w:rPr>
          <w:rFonts w:ascii="Times New Roman" w:hAnsi="Times New Roman" w:cs="Times New Roman"/>
          <w:sz w:val="24"/>
          <w:szCs w:val="24"/>
        </w:rPr>
      </w:pPr>
      <w:r w:rsidRPr="0030306B">
        <w:rPr>
          <w:rFonts w:ascii="Times New Roman" w:hAnsi="Times New Roman" w:cs="Times New Roman"/>
          <w:sz w:val="24"/>
          <w:szCs w:val="24"/>
        </w:rPr>
        <w:lastRenderedPageBreak/>
        <w:t>Two written submissions and at least one presentation will be used for final grading of the students.</w:t>
      </w:r>
    </w:p>
    <w:p w:rsidR="00742E20" w:rsidRPr="0030306B" w:rsidRDefault="00742E20" w:rsidP="00742E20">
      <w:pPr>
        <w:rPr>
          <w:rFonts w:ascii="Times New Roman" w:hAnsi="Times New Roman" w:cs="Times New Roman"/>
          <w:sz w:val="24"/>
          <w:szCs w:val="24"/>
        </w:rPr>
      </w:pPr>
      <w:r w:rsidRPr="0030306B">
        <w:rPr>
          <w:rFonts w:ascii="Times New Roman" w:hAnsi="Times New Roman" w:cs="Times New Roman"/>
          <w:sz w:val="24"/>
          <w:szCs w:val="24"/>
        </w:rPr>
        <w:t>Students will be assessed on their ability to engage with a sizeable corpus of readings assigned to the theme for written submissions,</w:t>
      </w:r>
    </w:p>
    <w:p w:rsidR="00742E20" w:rsidRPr="0030306B" w:rsidRDefault="00742E20" w:rsidP="00742E20">
      <w:pPr>
        <w:rPr>
          <w:rFonts w:ascii="Times New Roman" w:hAnsi="Times New Roman" w:cs="Times New Roman"/>
          <w:sz w:val="24"/>
          <w:szCs w:val="24"/>
        </w:rPr>
      </w:pPr>
      <w:r w:rsidRPr="003030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306B">
        <w:rPr>
          <w:rFonts w:ascii="Times New Roman" w:hAnsi="Times New Roman" w:cs="Times New Roman"/>
          <w:sz w:val="24"/>
          <w:szCs w:val="24"/>
        </w:rPr>
        <w:t>i.e</w:t>
      </w:r>
      <w:proofErr w:type="gramEnd"/>
      <w:r w:rsidRPr="0030306B">
        <w:rPr>
          <w:rFonts w:ascii="Times New Roman" w:hAnsi="Times New Roman" w:cs="Times New Roman"/>
          <w:sz w:val="24"/>
          <w:szCs w:val="24"/>
        </w:rPr>
        <w:t>. being able to explain important historical trends and tracing historiography reflected in the assigned readings.</w:t>
      </w:r>
    </w:p>
    <w:p w:rsidR="00742E20" w:rsidRPr="0030306B" w:rsidRDefault="00742E20" w:rsidP="0074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30306B">
        <w:rPr>
          <w:rFonts w:ascii="Times New Roman" w:hAnsi="Times New Roman" w:cs="Times New Roman"/>
          <w:b/>
          <w:sz w:val="24"/>
          <w:szCs w:val="24"/>
          <w:lang w:bidi="hi-IN"/>
        </w:rPr>
        <w:t>Learning Outcomes: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On completion of this course students shall be able to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• Explain critical concepts such as gender and patriarchy and demonstrate their use as tools for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historical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analysis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• Examine the role and functioning of power equations within social contexts in Indian history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during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the ancient period, in the construction of gender identities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• Critically examine representations of gender in literature, focusing on ideas of love, manliness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and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religiosity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• Examine the role of social and political patronage of art and literature in perpetuating gendered</w:t>
      </w:r>
    </w:p>
    <w:p w:rsidR="00742E20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Inequalities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F01586" w:rsidRDefault="0030306B">
      <w:pPr>
        <w:rPr>
          <w:rFonts w:ascii="Times New Roman" w:hAnsi="Times New Roman" w:cs="Times New Roman"/>
          <w:b/>
          <w:sz w:val="24"/>
          <w:szCs w:val="24"/>
        </w:rPr>
      </w:pPr>
      <w:r w:rsidRPr="0030306B">
        <w:rPr>
          <w:rFonts w:ascii="Times New Roman" w:hAnsi="Times New Roman" w:cs="Times New Roman"/>
          <w:b/>
          <w:sz w:val="24"/>
          <w:szCs w:val="24"/>
        </w:rPr>
        <w:t>Essential readings</w:t>
      </w:r>
    </w:p>
    <w:p w:rsidR="0030306B" w:rsidRDefault="003030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1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Geetha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V. (2002). </w:t>
      </w:r>
      <w:proofErr w:type="gramStart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Gender.</w:t>
      </w:r>
      <w:proofErr w:type="gramEnd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Calcutta: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Stree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Kent, Susan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Kingley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(2012).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Gender and History.</w:t>
      </w:r>
      <w:proofErr w:type="gramEnd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New York: Palgrave McMillan. pp. 49-75.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Scott, J. W. (1986). “Gender a useful Category of Historical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Analysis”.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The</w:t>
      </w:r>
      <w:proofErr w:type="spellEnd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American Historical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Review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vol.91/9, pp.1056-1075.</w:t>
      </w:r>
      <w:proofErr w:type="gramEnd"/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Lerner, G. (1979). 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The Majority Finds its Past: Placing Women in History.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New York: Oxford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University Press.</w:t>
      </w:r>
      <w:proofErr w:type="gramEnd"/>
    </w:p>
    <w:p w:rsidR="0030306B" w:rsidRPr="0030306B" w:rsidRDefault="0030306B" w:rsidP="0030306B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Walby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>, S</w:t>
      </w: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.(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>1990).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Theorizing Patriarchy.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Oxford: Basil Blackwell. </w:t>
      </w: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pp.1-24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>, 109-127.</w:t>
      </w:r>
    </w:p>
    <w:p w:rsidR="0030306B" w:rsidRDefault="0030306B">
      <w:pPr>
        <w:rPr>
          <w:rFonts w:ascii="Times New Roman" w:hAnsi="Times New Roman" w:cs="Times New Roman"/>
          <w:b/>
          <w:sz w:val="24"/>
          <w:szCs w:val="24"/>
        </w:rPr>
      </w:pP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Unit 2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Bhattacharya, N.N. (1999). “Proprietary Rights of Women in Ancient India”,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Kumkum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>,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Roy (Ed.). </w:t>
      </w:r>
      <w:proofErr w:type="gramStart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Women in Early Indian Societies.</w:t>
      </w:r>
      <w:proofErr w:type="gramEnd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Delhi: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Manohar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>, pp.113-122.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Chakravarti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U. (2006). 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Everyday Lives Every Day Histories: Beyond the Kings and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Brahmans of ‘Ancient’ India.</w:t>
      </w:r>
      <w:proofErr w:type="gramEnd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Tulika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Books: New Delhi.138-155.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Jaiswal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Suvira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(2008). “Caste, Gender and Ideology in the making of India”.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Social Scientist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vol. 36, no. 1/2.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pp. 3-39.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• Shah, S</w:t>
      </w: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.(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2012). </w:t>
      </w:r>
      <w:proofErr w:type="gramStart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The Making of Womanhood; Gender Relations in the Mahabharata.</w:t>
      </w:r>
      <w:proofErr w:type="gramEnd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Revised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Edition, Delhi: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Manohar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>, pp. 32-83.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Singh,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Snigdha</w:t>
      </w:r>
      <w:proofErr w:type="spellEnd"/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.(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2018). ‘‘Exploring the Question of Gender at an Early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Stupa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>: Inscriptions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and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Images”’,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Snigdha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Singh et. </w:t>
      </w: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Al. (Ed.).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Beyond the Woman Question: </w:t>
      </w:r>
      <w:proofErr w:type="gramStart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Reconstructing</w:t>
      </w:r>
      <w:r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 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Gendered</w:t>
      </w:r>
      <w:proofErr w:type="gramEnd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Identities in Early India.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Delhi: Primus Books, pp. 21-62.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Tyagi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J. (2004). “Hierarchical Projections of Women in Household: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Brahmanical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Perceptions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Recorded in the Early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Grhyasutras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c.800-500BC”.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gramStart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Social Scientist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vol. 32, no.5-6,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pp.3-20.</w:t>
      </w:r>
      <w:proofErr w:type="gramEnd"/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Gabbay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Alyssa. (2011). “In Reality a Man: Sultan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Iltutmish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His Daughter,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Raziya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>, and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Gender Ambiguity in Thirteenth Century Northern India”.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Journal of </w:t>
      </w:r>
      <w:proofErr w:type="spellStart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Persianate</w:t>
      </w:r>
      <w:proofErr w:type="spellEnd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Studies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,</w:t>
      </w:r>
    </w:p>
    <w:p w:rsidR="0030306B" w:rsidRPr="0030306B" w:rsidRDefault="0030306B" w:rsidP="0030306B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vol. 4, 45-63.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Roy, K. (2010). “Construction of Gender Relations in the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Rajatarangini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of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Kalhana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>”;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“Gender Relations during the First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Millenium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: An Overview”, in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Kumkum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Roy, 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The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Power of Gender and the Gender of Power, Explorations in Early Indian History,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New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Delhi: Oxford University Press, pp.142-164 and pp.195-222.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• Talbot, Cynthia. (1995). “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Rudramba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Devi </w:t>
      </w: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The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Female King: Gender and Political authority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in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medieval India”. David </w:t>
      </w:r>
      <w:proofErr w:type="spellStart"/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Shulman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>(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Ed.), 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Syllables of the Sky: Studies in South Indian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Civilisation.</w:t>
      </w:r>
      <w:proofErr w:type="gramEnd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OUP: New Delhi, pp.391-428.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Sahgal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Smita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>. (2009-10). “Masculinity in Early India: Constructing an Embryonic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Frame”.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Proceedings of Indian History Congress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vol.70, pp. 151-163.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Zwilling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>, L and M. Sweet. (1996). “Like a City Ablaze’: The Third Sex and the Creation</w:t>
      </w:r>
    </w:p>
    <w:p w:rsidR="0030306B" w:rsidRP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of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Sexuality in Jain Religious Literature.” </w:t>
      </w:r>
      <w:proofErr w:type="gramStart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Journal of History of Sexuality.</w:t>
      </w:r>
      <w:proofErr w:type="gramEnd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</w:t>
      </w: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vol.6/3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>, pp.</w:t>
      </w:r>
    </w:p>
    <w:p w:rsidR="0030306B" w:rsidRDefault="0030306B" w:rsidP="0030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359-384.</w:t>
      </w:r>
      <w:proofErr w:type="gramEnd"/>
    </w:p>
    <w:p w:rsidR="0030306B" w:rsidRDefault="0030306B">
      <w:pPr>
        <w:rPr>
          <w:rFonts w:ascii="Times New Roman" w:hAnsi="Times New Roman" w:cs="Times New Roman"/>
          <w:b/>
          <w:sz w:val="24"/>
          <w:szCs w:val="24"/>
        </w:rPr>
      </w:pPr>
    </w:p>
    <w:p w:rsidR="00FE1FC5" w:rsidRDefault="00FE1F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3</w:t>
      </w: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>• Blackstone, R. K. (1998).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Women in the Footsteps of Buddha: Struggle for Liberation in the</w:t>
      </w: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proofErr w:type="gramStart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Therigathas</w:t>
      </w:r>
      <w:proofErr w:type="spellEnd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.</w:t>
      </w:r>
      <w:proofErr w:type="gramEnd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Britain: Curzon Press.</w:t>
      </w: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Chitgopekar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>, N. (2002). ‘Indian Goddess: Persevering and Antinomian Presences’; and</w:t>
      </w: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Kumkum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Roy. “Goddess in the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Rgveda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-An Investigation”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NilimaChitgopekar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(Ed.), 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Invoking</w:t>
      </w: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Goddess, Gender Politics in Indian Religion.</w:t>
      </w:r>
      <w:proofErr w:type="gramEnd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Delhi: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Shakti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Books, pp.11-61.</w:t>
      </w: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Chakrabarti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Kunal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(2001). “Introduction”.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The Religious Process: The </w:t>
      </w:r>
      <w:proofErr w:type="spellStart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Puranic</w:t>
      </w:r>
      <w:proofErr w:type="spellEnd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and the</w:t>
      </w: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Making of a Religious Tradition.</w:t>
      </w:r>
      <w:proofErr w:type="gramEnd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Delhi: Oxford University Press, pp.1-43.</w:t>
      </w: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Jha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Pankaj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(2019). ‘Political Ethics and the Art of Being a Man’.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Pankaj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Jha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A political</w:t>
      </w: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History of Literature: </w:t>
      </w:r>
      <w:proofErr w:type="spellStart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Vidyapati</w:t>
      </w:r>
      <w:proofErr w:type="spellEnd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and the Fifteenth Century.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Delhi</w:t>
      </w: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:Oxford</w:t>
      </w:r>
      <w:proofErr w:type="spellEnd"/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University Press,</w:t>
      </w: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pp.133-183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Sreenivasan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Ramya</w:t>
      </w:r>
      <w:proofErr w:type="spellEnd"/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.(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>2003). “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Padmini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The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Ideal Queen: Sufi and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Rajput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Codes in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Malik</w:t>
      </w:r>
      <w:proofErr w:type="spellEnd"/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Muhammad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Jayasi's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Padmavat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>”.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Vijaya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Ramaswamy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(Ed.), 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Re-searching Indian Women.</w:t>
      </w: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New Delhi: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Manohar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>, pp. 97-118.</w:t>
      </w: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Sangari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Kumkum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>. (1990) “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Mirabai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and the Spiritual Economy of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Bhakti”.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Economic</w:t>
      </w:r>
      <w:proofErr w:type="spellEnd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and</w:t>
      </w: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Political Weekly,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vol. 25/ 27.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July 7, pp. 1461-1475.</w:t>
      </w: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Mahalaksmi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>, R. (2011). “Inscribing the Goddess: Female Deities in Early Medieval Inscriptions</w:t>
      </w: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from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Tamil Region”, R.,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Mahalakshmi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The Making of the Goddess: </w:t>
      </w:r>
      <w:proofErr w:type="spellStart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Korravai-Durga</w:t>
      </w:r>
      <w:proofErr w:type="spellEnd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in</w:t>
      </w: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Tamil Traditions.</w:t>
      </w:r>
      <w:proofErr w:type="gramEnd"/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</w:t>
      </w:r>
      <w:r w:rsidRPr="0030306B">
        <w:rPr>
          <w:rFonts w:ascii="Times New Roman" w:hAnsi="Times New Roman" w:cs="Times New Roman"/>
          <w:sz w:val="24"/>
          <w:szCs w:val="24"/>
          <w:lang w:val="en-IN"/>
        </w:rPr>
        <w:t>New Delhi: Penguin Books India, pp. 156-98.</w:t>
      </w: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•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Ramaswamy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>, V. (1997). “Rebels- House wives”; and “Women in and Out: Women within the</w:t>
      </w:r>
    </w:p>
    <w:p w:rsidR="00FE1FC5" w:rsidRPr="0030306B" w:rsidRDefault="00FE1FC5" w:rsidP="00FE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proofErr w:type="spellStart"/>
      <w:proofErr w:type="gramStart"/>
      <w:r w:rsidRPr="0030306B">
        <w:rPr>
          <w:rFonts w:ascii="Times New Roman" w:hAnsi="Times New Roman" w:cs="Times New Roman"/>
          <w:sz w:val="24"/>
          <w:szCs w:val="24"/>
          <w:lang w:val="en-IN"/>
        </w:rPr>
        <w:t>WarkariPanths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>”.</w:t>
      </w:r>
      <w:proofErr w:type="gram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Vijaya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Ramaswamy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 w:rsidRPr="0030306B">
        <w:rPr>
          <w:rFonts w:ascii="Times New Roman" w:hAnsi="Times New Roman" w:cs="Times New Roman"/>
          <w:i/>
          <w:iCs/>
          <w:sz w:val="24"/>
          <w:szCs w:val="24"/>
          <w:lang w:val="en-IN"/>
        </w:rPr>
        <w:t>Walking Naked: Women and Spirituality in South India.</w:t>
      </w:r>
    </w:p>
    <w:p w:rsidR="00FE1FC5" w:rsidRPr="0030306B" w:rsidRDefault="00FE1FC5" w:rsidP="00FE1FC5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 w:rsidRPr="0030306B">
        <w:rPr>
          <w:rFonts w:ascii="Times New Roman" w:hAnsi="Times New Roman" w:cs="Times New Roman"/>
          <w:sz w:val="24"/>
          <w:szCs w:val="24"/>
          <w:lang w:val="en-IN"/>
        </w:rPr>
        <w:t>Simla</w:t>
      </w:r>
      <w:proofErr w:type="spellEnd"/>
      <w:r w:rsidRPr="0030306B">
        <w:rPr>
          <w:rFonts w:ascii="Times New Roman" w:hAnsi="Times New Roman" w:cs="Times New Roman"/>
          <w:sz w:val="24"/>
          <w:szCs w:val="24"/>
          <w:lang w:val="en-IN"/>
        </w:rPr>
        <w:t>: Indian Institute of Advanced Study, pp.145-194; pp.195-230.</w:t>
      </w:r>
    </w:p>
    <w:p w:rsidR="00FE1FC5" w:rsidRPr="0030306B" w:rsidRDefault="00FE1FC5" w:rsidP="00FE1FC5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FE1FC5" w:rsidRPr="0030306B" w:rsidRDefault="00FE1FC5">
      <w:pPr>
        <w:rPr>
          <w:rFonts w:ascii="Times New Roman" w:hAnsi="Times New Roman" w:cs="Times New Roman"/>
          <w:b/>
          <w:sz w:val="24"/>
          <w:szCs w:val="24"/>
        </w:rPr>
      </w:pPr>
    </w:p>
    <w:sectPr w:rsidR="00FE1FC5" w:rsidRPr="0030306B" w:rsidSect="008D60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2E20"/>
    <w:rsid w:val="0030306B"/>
    <w:rsid w:val="00740F2B"/>
    <w:rsid w:val="00742E20"/>
    <w:rsid w:val="008F3E00"/>
    <w:rsid w:val="00F01586"/>
    <w:rsid w:val="00FE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2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E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Sharma</dc:creator>
  <cp:lastModifiedBy>STUDENT`s</cp:lastModifiedBy>
  <cp:revision>2</cp:revision>
  <dcterms:created xsi:type="dcterms:W3CDTF">2022-12-12T09:15:00Z</dcterms:created>
  <dcterms:modified xsi:type="dcterms:W3CDTF">2022-12-12T09:15:00Z</dcterms:modified>
</cp:coreProperties>
</file>