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TEACHING PLAN for Academic Year </w:t>
      </w:r>
      <w:r>
        <w:rPr>
          <w:rFonts w:ascii="Times New Roman" w:hAnsi="Times New Roman"/>
          <w:sz w:val="24"/>
          <w:szCs w:val="24"/>
          <w:rtl w:val="0"/>
          <w:lang w:val="en-US"/>
        </w:rPr>
        <w:t>Oct - Dec 2021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 History Honours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PAPER: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Core Course </w:t>
      </w:r>
      <w:r>
        <w:rPr>
          <w:rFonts w:ascii="Times New Roman" w:hAnsi="Times New Roman"/>
          <w:sz w:val="24"/>
          <w:szCs w:val="24"/>
          <w:rtl w:val="0"/>
          <w:lang w:val="en-US"/>
        </w:rPr>
        <w:t>VI : Rise of the Modern West - 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SEMESTER: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III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SESSION: 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TEACHER NAME: Dr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Fatima Hussain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SYLLABUS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Course Content: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Transition from Feudalism to Capitalism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II. Early colonial expansion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  <w:br w:type="textWrapping"/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III. Renaissance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IV. Origins, course, and results of the European Reformation in the 16th century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 V. Economic developments of the 16th century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u w:val="single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VI. Emergence of European State system: with two case studies (Spain, France, England, Russia).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COURSE DESCRIPTION </w:t>
      </w:r>
    </w:p>
    <w:p>
      <w:pPr>
        <w:pStyle w:val="Body"/>
        <w:tabs>
          <w:tab w:val="left" w:pos="4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focus of the course is on transition from feudalism to capitalism in Europe. The paper famil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arises the student with important transitions and transformations in the economy, polity, and socio-cultural life from late medieval period to 1600 in various parts of Europe. The course critically examine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dynamics of economic and political power within Europe, and contact with the New World. The processes by which Europe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economy benefited from colonial expansion and exploitation of indigenous and slave labour w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ill be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explained. Students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will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 engage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with continuities and changes in intellectual and artistic realms; the social and economic milieu which influenced developments in religion; trends in state formation; and the relationship between state and religion. Students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shall be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introduced to the concept of Eurocentrism in our understanding of the Rise of the Modern West. </w:t>
      </w:r>
    </w:p>
    <w:p>
      <w:pPr>
        <w:pStyle w:val="Body"/>
        <w:tabs>
          <w:tab w:val="left" w:pos="4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TEACHING TIME (No. Of Weeks) 16weeks- 5+1 credits</w:t>
      </w:r>
    </w:p>
    <w:p>
      <w:pPr>
        <w:pStyle w:val="Body"/>
        <w:tabs>
          <w:tab w:val="left" w:pos="420"/>
        </w:tabs>
        <w:ind w:left="4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six credit course will comprise of theory classes (five credits) and tutorials (one credit). </w:t>
      </w:r>
    </w:p>
    <w:p>
      <w:pPr>
        <w:pStyle w:val="Body"/>
        <w:tabs>
          <w:tab w:val="left" w:pos="420"/>
        </w:tabs>
        <w:ind w:left="4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Each credit is equivalent to one hour of class-room instruction per week</w:t>
      </w:r>
    </w:p>
    <w:p>
      <w:pPr>
        <w:pStyle w:val="Body"/>
        <w:tabs>
          <w:tab w:val="left" w:pos="420"/>
        </w:tabs>
        <w:ind w:left="4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Teaching plan is divided into 5Lectures + 3 Tutorials per week (8hours per week)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CLASSES: 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120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Classes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UNIT WISE BREAK UP OF SYLLABUS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I. Transition from Feudalism to Capitalism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( 3 weeks)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[a] Issues and debates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[b] Question of Eurocentrism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II. Early colonial expansion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(2 weeks)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[a] Factors for colonization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[b] Trade and Empire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[c] Mines and plantations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[d] Labour Systems - indigenous populations and African slaves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 xml:space="preserve">III. Renaissance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(3 weeks)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[a] In Italy: its social roots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[b] Humanism and its spread in Europe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 xml:space="preserve">[c] Art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IV. Origins, course, and results of the European Reformation in the 16th century.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(2 weeks)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V. Economic developments of the 16th century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(2 weeks)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[a] Shift of economic balance from the Mediterranean to the Atlantic [b] Commercial Revolution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[c] Price Revolution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VI. Emergence of European State system: with two case studies (Spain, France, England, Russia).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(2 weeks)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ASSESSMENT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Internal Assessment: 25 Marks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will be regularly assessed for their grasp on debates and discussions covered in class. \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Two written submissions and at least one presentation will be used for final grading of the students.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will be assessed on their ability to engage with a sizeable corpus of readings assigned to the theme for written submissions,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i.e. being able to explain important historical trends and tracing historiography reflected in the assigned readings.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ESSENTIAL READINGS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Aston, T.H. and C.H.E. Philpin, (Ed.). (2005). The Brenner Debate, Agrarian Class Structure and Economic Development in Pre-Industrial Europe. Cambridge/Delhi: Cambridge Uni- versity Press.</w:t>
      </w:r>
      <w:r>
        <w:br w:type="textWrapping"/>
      </w:r>
      <w:r>
        <w:rPr>
          <w:rtl w:val="0"/>
          <w:lang w:val="en-US"/>
        </w:rPr>
        <w:t xml:space="preserve">Blaut, J.M., et.al. (1992). 1492 - The Debate on Colonialism, Eurocentrism, and History. Trenton, N J: Africa World Press, Inc.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Hilton, Rodney, (Ed.). (1985). The Transition from Feudalism to Capitalism. London: Verso. </w:t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>Sinha, Arvind. (2009). Sankrantikaleen Europe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संक्रािन्त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कालीन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यूरोप</w:t>
      </w:r>
      <w:r>
        <w:rPr>
          <w:rtl w:val="0"/>
          <w:lang w:val="en-US"/>
        </w:rPr>
        <w:t>). New Delhi: Granth Shilpi. [and English edition]</w:t>
      </w:r>
      <w:r>
        <w:br w:type="textWrapping"/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Wallerstein, Immanuel. (1974). The Modern World System, Vol. I, Capitalist Agriculture and the Origins of the European World Economy in the Sixteenth Century. New York: Academic Press.(Chpts: Intoduction and 1)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Braudel, Fernand. (1988). Civilization and Capitalism, 15th to 18th Centuries, Vols. I, II, III. London: Collins/Fontana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Burbank, Jane and Frederick Cooper. (2010). Empires in World History - Power and Politics of Difference. Princeton: Princeton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Crosby, Alfred W. (2004). Ecological Imperialism: The Biological Expansion of Europe, 900-1900. Cambridge: Cambridge University Press (2nd edition).</w:t>
      </w:r>
      <w:r>
        <w:br w:type="textWrapping"/>
      </w:r>
      <w:r>
        <w:rPr>
          <w:rtl w:val="0"/>
          <w:lang w:val="en-US"/>
        </w:rPr>
        <w:t xml:space="preserve">Davis, Ralph. (1973). The Rise of the Atlantic Economies. London: Weidenfield and Nicolson.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Waites, Bernard. (1999) Europe and the Third World: From Colonisation to Decolonisation, c 1500-1998. London: Palgrave Macmillan.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Burke, Peter. (1999). The Italian Renaissance, Culture and Society in Italy. Princeton: Prin- ceton University Press. (Chpts: Introduction,chpts:1, 2, 3, 4 &amp; 6)</w:t>
      </w:r>
      <w:r>
        <w:br w:type="textWrapping"/>
      </w:r>
      <w:r>
        <w:rPr>
          <w:rtl w:val="0"/>
          <w:lang w:val="en-US"/>
        </w:rPr>
        <w:t>Kaborycha, Lisa. (2011). A Short History of Renaissance Italy. New York: Pearson.</w:t>
      </w:r>
      <w:r>
        <w:br w:type="textWrapping"/>
      </w:r>
      <w:r>
        <w:rPr>
          <w:rtl w:val="0"/>
          <w:lang w:val="en-US"/>
        </w:rPr>
        <w:t xml:space="preserve">Mac Kenny, Richard. (2005). Renaissances: The Cultures of Italy, 1300-1600. London/New York: Palgrave Macmillan.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de-DE"/>
        </w:rPr>
        <w:t>Winks, Robin W. and Lee Palmer Wandel. (2003). Europe in a Wider World, 1350-1650. New York: Oxford University Press.</w:t>
      </w:r>
      <w:r>
        <w:br w:type="textWrapping"/>
      </w:r>
      <w:r>
        <w:rPr>
          <w:rtl w:val="0"/>
          <w:lang w:val="fr-FR"/>
        </w:rPr>
        <w:t xml:space="preserve">Woolfson, Jonathan, (Ed.). (2004). Palgrave Advances in Renaissance Historiography. Lon- don: Palgrave Macmillan. </w:t>
      </w:r>
    </w:p>
    <w:p>
      <w:pPr>
        <w:pStyle w:val="Body"/>
        <w:numPr>
          <w:ilvl w:val="0"/>
          <w:numId w:val="4"/>
        </w:numPr>
      </w:pPr>
    </w:p>
    <w:p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Bandhopadhyay, Shekhar. From Plassey to Partition: A History of Modern India. Delhi: Orient Blackswan, 2004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बंदोपाध्या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शेखर</w:t>
      </w:r>
      <w:r>
        <w:rPr>
          <w:rFonts w:ascii="Times New Roman" w:hAnsi="Times New Roman"/>
          <w:sz w:val="24"/>
          <w:szCs w:val="24"/>
          <w:rtl w:val="0"/>
        </w:rPr>
        <w:t>. 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पलासीसेिावभाजनतक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आधिानकभारतकािइतहास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ु</w:t>
      </w:r>
      <w:r>
        <w:rPr>
          <w:rFonts w:ascii="Times New Roman" w:hAnsi="Times New Roman"/>
          <w:sz w:val="24"/>
          <w:szCs w:val="24"/>
          <w:rtl w:val="0"/>
        </w:rPr>
        <w:t xml:space="preserve"> 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Bayly, C. A. Indian Society and the Making of the British Empire.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Habib, Irfan. Indian Economy Under Early British Rule 1757-1857, Delhi: Tulika, 2013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British Bridgehead: The New Cambridge History of India. Volume II.1.Cambridge: Cambridge University Press, 1990.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Roy, Tirthankar. An Economic History of Early Modern India. London and New York: Routledge, 2013. 36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Subramanian, Lakshmi. History of India, 1707-1857. Delhi: Orient Blackswan, 2010.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चन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्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ब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पन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आध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ाुनकभारतकाइ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तहास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दल्ल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औ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रएथतर्बलाक्स</w:t>
      </w:r>
      <w:r>
        <w:rPr>
          <w:rFonts w:ascii="Times New Roman" w:hAnsi="Times New Roman"/>
          <w:sz w:val="24"/>
          <w:szCs w:val="24"/>
          <w:rtl w:val="0"/>
        </w:rPr>
        <w:t xml:space="preserve"> , 2009.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SUGGESTED READINGS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Alavi, Seema, ed. The Eighteenth Century in India. New Delhi: Oxford University Press, 2007.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Alavi, Seema. The Sepoys and the Company: Tradition and Transition in Northern India, 1770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1830. New Delhi: Oxford University Press, 1998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Bayly, Susan. Caste Politics and Indian Society from the Eighteenth Century to the Modern Age. Cambridge: Cambridge University Press,1999.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Bhattacharya, Sabyasachi, ed. Rethinking 1857. Delhi: Orient Longman, 2007.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Choudhary, Sushil. Prelude to Empire: Plassey Revolution of 1757. Delhi: Manohar, 2000.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Dirks, Nicholas B. Castes of Mind. Princeton, New Jersey: Princeton University Press, 2001.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Guha, Ranajit. Elementary Aspects of Peasant Insurgency in Colonial India. New Delhi: Oxford University Press, 1983.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Jones, Kenneth. Socio-Religious Reform Movements in British India, New Cambridge History of India, Vol.3.1. Cambridge: Cambridge University Press, 1989.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Kapila, Shruti, ed. An Intellectual History for India. Delhi:Cambridge University Press, 2010.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Ludden, David, ed. Agricultural Production and South Asian History.New Delhi: Oxford University Press, 2005.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Metcalfe,Thomas. Ideologies of the Raj. Cambridge: Cambridge University Press, 1995.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मत्त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सतीशचन</w:t>
      </w:r>
      <w:r>
        <w:rPr>
          <w:rFonts w:ascii="Times New Roman" w:hAnsi="Times New Roman"/>
          <w:sz w:val="24"/>
          <w:szCs w:val="24"/>
          <w:rtl w:val="0"/>
        </w:rPr>
        <w:t xml:space="preserve">. 1857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्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कास्वातंत्र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एकपनुरावलोकन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Mukherjee, Mithi. India in the Shadows of Empire: A Legal and Political History 1774- 1950. New Delhi: Oxford University Press,2010.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Mukherjee, Rudrangshu. Awadh in Revolt 1857-1858. New Delhi: Oxford University Press, 1984.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Parthasarathi,Prasannan.The Transition to a Colonial Economy: Weavers, Merchants and Kings in South India, 1720-1800. Cambridge: Cambridge University Press, 2001.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Parthasarthy,Prasannan.Why Europe Grew Rich and Asia Did Not: Global Economic Divergence, 1600-1850. Cambridge: Cambridge University Press, 2011.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Raj,K N.et. al, ed. Essays on the Commercialization of Indian Agriculture. New Delhi: Oxford University Press, 1985.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Robb, Peter, ed. Dalit movements and the meanings of labour in India. New Delhi: Oxford University Press, 1993.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Sarkar, Sumit, and Tanika Sarkar, eds. Women and Social Reform in India,Vol I&amp;II.Delhi: Permanent Black, 2007.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Singha, Radhika. A Despotism of Law: Crime and Justice in Early Colonial India.New Delhi: Oxford University Press, 1998.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Stein, Burton, ed. The Making of Agrarian Policy in British India, 1770-1900. Delhi: Oxford University Press, 1992.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Stern, Phillip. The Company-State: Corporate Sovereignty and the Early Modern Foundations of the British Empire in India.New York: Oxford University Press, 2011.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Stokes, Eric. The Peasant Armed: The Indian Rebellion of 1857, edited by C.A. Bayly. New Delhi: Oxford University Press, 1986.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Vishwanathan, Gauri. Masks of Conquest: Literary Study and British Rule in India. New York: Columbia University Press, 2015 reprint</w:t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