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Plan for the session (2021-22) </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odd semester July 2021-December 2021</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 History Hons V semester)</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is shared with </w:t>
      </w:r>
      <w:r w:rsidDel="00000000" w:rsidR="00000000" w:rsidRPr="00000000">
        <w:rPr>
          <w:rFonts w:ascii="Times New Roman" w:cs="Times New Roman" w:eastAsia="Times New Roman" w:hAnsi="Times New Roman"/>
          <w:b w:val="1"/>
          <w:sz w:val="24"/>
          <w:szCs w:val="24"/>
          <w:rtl w:val="0"/>
        </w:rPr>
        <w:t xml:space="preserve">Mr Levin n.r</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PAPER:  </w:t>
      </w:r>
      <w:r w:rsidDel="00000000" w:rsidR="00000000" w:rsidRPr="00000000">
        <w:rPr>
          <w:rFonts w:ascii="Times New Roman" w:cs="Times New Roman" w:eastAsia="Times New Roman" w:hAnsi="Times New Roman"/>
          <w:b w:val="1"/>
          <w:sz w:val="24"/>
          <w:szCs w:val="24"/>
          <w:rtl w:val="0"/>
        </w:rPr>
        <w:t xml:space="preserve">DSE-IV</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Gender in Indian History up to 1500 CE</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V</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SESSION: 2021-22 (odd semester)</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NAME</w:t>
      </w:r>
      <w:r w:rsidDel="00000000" w:rsidR="00000000" w:rsidRPr="00000000">
        <w:rPr>
          <w:rFonts w:ascii="Times New Roman" w:cs="Times New Roman" w:eastAsia="Times New Roman" w:hAnsi="Times New Roman"/>
          <w:b w:val="1"/>
          <w:sz w:val="24"/>
          <w:szCs w:val="24"/>
          <w:rtl w:val="0"/>
        </w:rPr>
        <w:t xml:space="preserve">: Dr Madhuri Sharma</w:t>
      </w:r>
      <w:r w:rsidDel="00000000" w:rsidR="00000000" w:rsidRPr="00000000">
        <w:rPr>
          <w:rtl w:val="0"/>
        </w:rPr>
      </w:r>
    </w:p>
    <w:p w:rsidR="00000000" w:rsidDel="00000000" w:rsidP="00000000" w:rsidRDefault="00000000" w:rsidRPr="00000000" w14:paraId="0000000B">
      <w:pPr>
        <w:tabs>
          <w:tab w:val="left" w:pos="4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w:t>
      </w:r>
    </w:p>
    <w:p w:rsidR="00000000" w:rsidDel="00000000" w:rsidP="00000000" w:rsidRDefault="00000000" w:rsidRPr="00000000" w14:paraId="0000000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I: Theories and concepts</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Gender: a tool of historical analysis</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Understanding Origins and Structures of patriarchy</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II: Aspects of Gender: Politics, Power and Household</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Economic and Social Roles: household, patronage and Property</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Women and Power: Raẓiyya and Rudramadevi</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Questions of Sexualities</w:t>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III: Gender, Representation and Literature</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Religious Literature in the early period: Vedic, Buddhist and Puranic</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Love and Manliness in Hindawi Romances; case studies of Padmavat, Purushpariksha</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histories of Mira [c] Representations of the Divine Feminine:Virasaivism, WarkariPanths, Korravai-Durga in Tamil Traditions</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tabs>
          <w:tab w:val="left" w:pos="4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p>
    <w:p w:rsidR="00000000" w:rsidDel="00000000" w:rsidP="00000000" w:rsidRDefault="00000000" w:rsidRPr="00000000" w14:paraId="0000001C">
      <w:pPr>
        <w:tabs>
          <w:tab w:val="left" w:pos="4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teaches how ‘Gender’ is not an innocent term denoting biological differences but a social and culturally constructed unequal relationship that needs careful historical analysis in the context of Indian history. The focus is not merely on studying ‘women’s history’ but to go beyond and explore aspects of masculinities as well as alternative sexualities, spanning temporal frames from prehistory to 1500 CE. There is an added emphasis on learning inter-disciplinary analytical tools and frames of analysis concerning familiar topics such as class, caste, and environment that enriches an understanding of historical processes.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tabs>
          <w:tab w:val="left" w:pos="420"/>
        </w:tabs>
        <w:spacing w:after="0" w:line="240" w:lineRule="auto"/>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tabs>
          <w:tab w:val="left" w:pos="4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tabs>
          <w:tab w:val="left" w:pos="4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tabs>
          <w:tab w:val="left" w:pos="4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TEACHING TIME  </w:t>
      </w:r>
    </w:p>
    <w:p w:rsidR="00000000" w:rsidDel="00000000" w:rsidP="00000000" w:rsidRDefault="00000000" w:rsidRPr="00000000" w14:paraId="00000023">
      <w:pPr>
        <w:tabs>
          <w:tab w:val="left" w:pos="4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tabs>
          <w:tab w:val="left" w:pos="4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 Weeks) 16weeks- 5+1 credits</w:t>
      </w:r>
    </w:p>
    <w:p w:rsidR="00000000" w:rsidDel="00000000" w:rsidP="00000000" w:rsidRDefault="00000000" w:rsidRPr="00000000" w14:paraId="00000025">
      <w:pPr>
        <w:tabs>
          <w:tab w:val="left" w:pos="420"/>
        </w:tabs>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six credit course will comprise of theory classes (five credits) and tutorials (one credit). </w:t>
      </w:r>
    </w:p>
    <w:p w:rsidR="00000000" w:rsidDel="00000000" w:rsidP="00000000" w:rsidRDefault="00000000" w:rsidRPr="00000000" w14:paraId="00000026">
      <w:pPr>
        <w:tabs>
          <w:tab w:val="left" w:pos="420"/>
        </w:tabs>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credit is equivalent to one hour of class-room instruction per week</w:t>
      </w:r>
    </w:p>
    <w:p w:rsidR="00000000" w:rsidDel="00000000" w:rsidP="00000000" w:rsidRDefault="00000000" w:rsidRPr="00000000" w14:paraId="00000027">
      <w:pPr>
        <w:tabs>
          <w:tab w:val="left" w:pos="420"/>
        </w:tabs>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plan is divided into 5Lectures + 3 Tutorials per week (8 hours per week)</w:t>
      </w:r>
    </w:p>
    <w:p w:rsidR="00000000" w:rsidDel="00000000" w:rsidP="00000000" w:rsidRDefault="00000000" w:rsidRPr="00000000" w14:paraId="00000028">
      <w:pPr>
        <w:tabs>
          <w:tab w:val="left" w:pos="420"/>
        </w:tabs>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CLASSES:  120 Classes</w:t>
      </w:r>
    </w:p>
    <w:p w:rsidR="00000000" w:rsidDel="00000000" w:rsidP="00000000" w:rsidRDefault="00000000" w:rsidRPr="00000000" w14:paraId="00000029">
      <w:pPr>
        <w:rPr>
          <w:rFonts w:ascii="Times New Roman" w:cs="Times New Roman" w:eastAsia="Times New Roman" w:hAnsi="Times New Roman"/>
          <w:color w:val="000000"/>
          <w:sz w:val="24"/>
          <w:szCs w:val="24"/>
          <w:highlight w:val="white"/>
          <w:u w:val="single"/>
        </w:rPr>
      </w:pPr>
      <w:r w:rsidDel="00000000" w:rsidR="00000000" w:rsidRPr="00000000">
        <w:rPr>
          <w:rtl w:val="0"/>
        </w:rPr>
      </w:r>
    </w:p>
    <w:p w:rsidR="00000000" w:rsidDel="00000000" w:rsidP="00000000" w:rsidRDefault="00000000" w:rsidRPr="00000000" w14:paraId="0000002A">
      <w:pPr>
        <w:tabs>
          <w:tab w:val="left" w:pos="4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WISE BREAK UP OF SYLLABUS</w:t>
      </w:r>
    </w:p>
    <w:p w:rsidR="00000000" w:rsidDel="00000000" w:rsidP="00000000" w:rsidRDefault="00000000" w:rsidRPr="00000000" w14:paraId="0000002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 </w:t>
      </w:r>
      <w:r w:rsidDel="00000000" w:rsidR="00000000" w:rsidRPr="00000000">
        <w:rPr>
          <w:rFonts w:ascii="Times New Roman" w:cs="Times New Roman" w:eastAsia="Times New Roman" w:hAnsi="Times New Roman"/>
          <w:sz w:val="24"/>
          <w:szCs w:val="24"/>
          <w:rtl w:val="0"/>
        </w:rPr>
        <w:t xml:space="preserve">The unit should familiarise students with theoretical frames of gender and patriarchy  and how these concepts provide tools for historical analysis.</w:t>
      </w:r>
      <w:r w:rsidDel="00000000" w:rsidR="00000000" w:rsidRPr="00000000">
        <w:rPr>
          <w:rFonts w:ascii="Times New Roman" w:cs="Times New Roman" w:eastAsia="Times New Roman" w:hAnsi="Times New Roman"/>
          <w:b w:val="1"/>
          <w:sz w:val="24"/>
          <w:szCs w:val="24"/>
          <w:rtl w:val="0"/>
        </w:rPr>
        <w:t xml:space="preserve">(Teaching time: 3 weeks Approx.)</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Gender: a tool of historical analysis</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Understanding Origins and Structures of patriarchy</w:t>
      </w:r>
    </w:p>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tabs>
          <w:tab w:val="left" w:pos="4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-2. </w:t>
      </w:r>
      <w:r w:rsidDel="00000000" w:rsidR="00000000" w:rsidRPr="00000000">
        <w:rPr>
          <w:rFonts w:ascii="Times New Roman" w:cs="Times New Roman" w:eastAsia="Times New Roman" w:hAnsi="Times New Roman"/>
          <w:sz w:val="24"/>
          <w:szCs w:val="24"/>
          <w:rtl w:val="0"/>
        </w:rPr>
        <w:t xml:space="preserve">This section should apprise students to locate fluctuating gender relations within households, court and also explore linkages between gender, power and politics. Additionally discussion on the question of sexualities would open up vistas for a nuanced historical learning of normative and alternative sexualities as well as issues of masculinities. </w:t>
      </w:r>
      <w:r w:rsidDel="00000000" w:rsidR="00000000" w:rsidRPr="00000000">
        <w:rPr>
          <w:rFonts w:ascii="Times New Roman" w:cs="Times New Roman" w:eastAsia="Times New Roman" w:hAnsi="Times New Roman"/>
          <w:b w:val="1"/>
          <w:sz w:val="24"/>
          <w:szCs w:val="24"/>
          <w:rtl w:val="0"/>
        </w:rPr>
        <w:t xml:space="preserve">(Teaching time: 6 weeks Approx.)</w:t>
      </w:r>
    </w:p>
    <w:p w:rsidR="00000000" w:rsidDel="00000000" w:rsidP="00000000" w:rsidRDefault="00000000" w:rsidRPr="00000000" w14:paraId="0000003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Economic and Social Roles: household, patronage and Property</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Women and Power: Raẓiyya and Rudramadevi</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Questions of Sexualities</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-3. </w:t>
      </w:r>
      <w:r w:rsidDel="00000000" w:rsidR="00000000" w:rsidRPr="00000000">
        <w:rPr>
          <w:rFonts w:ascii="Times New Roman" w:cs="Times New Roman" w:eastAsia="Times New Roman" w:hAnsi="Times New Roman"/>
          <w:sz w:val="24"/>
          <w:szCs w:val="24"/>
          <w:rtl w:val="0"/>
        </w:rPr>
        <w:t xml:space="preserve">The focus is on studying gender representation in literature that highlights the idea of</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as well as manliness on the one hand and religiosity across temporal and regional spread on</w:t>
      </w:r>
    </w:p>
    <w:p w:rsidR="00000000" w:rsidDel="00000000" w:rsidP="00000000" w:rsidRDefault="00000000" w:rsidRPr="00000000" w14:paraId="0000003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other.</w:t>
      </w:r>
      <w:r w:rsidDel="00000000" w:rsidR="00000000" w:rsidRPr="00000000">
        <w:rPr>
          <w:rFonts w:ascii="Times New Roman" w:cs="Times New Roman" w:eastAsia="Times New Roman" w:hAnsi="Times New Roman"/>
          <w:b w:val="1"/>
          <w:sz w:val="24"/>
          <w:szCs w:val="24"/>
          <w:rtl w:val="0"/>
        </w:rPr>
        <w:t xml:space="preserve">(Teaching time: 5 weeks Approx.)</w:t>
      </w:r>
    </w:p>
    <w:p w:rsidR="00000000" w:rsidDel="00000000" w:rsidP="00000000" w:rsidRDefault="00000000" w:rsidRPr="00000000" w14:paraId="0000003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Religious Literature in the early period: Vedic, Buddhist and Puranic</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Love and Manliness in Hindawi Romances; case studies of Padmavat, Purushpariksha</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histories of Mira [c] Representations of the Divine Feminine:Virasaivism, WarkariPanths, Korravai-Durga in Tamil Traditions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left" w:pos="4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Assessment: 25 Marks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regularly assessed for their grasp on debates and discussions covered in class.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written submissions and at least one presentation will be used for final grading of the students.</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assessed on their ability to engage with a sizeable corpus of readings assigned to the theme for written submissions,</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i.e. being able to explain important historical trends and tracing historiography reflected in the assigned readings.</w:t>
      </w:r>
    </w:p>
    <w:p w:rsidR="00000000" w:rsidDel="00000000" w:rsidP="00000000" w:rsidRDefault="00000000" w:rsidRPr="00000000" w14:paraId="0000004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Outcomes:</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completion of this course students shall be able to</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Explain critical concepts such as gender and patriarchy and demonstrate their use as tools for</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analysis</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Examine the role and functioning of power equations within social contexts in Indian history</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ancient period, in the construction of gender identities</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Critically examine representations of gender in literature, focusing on ideas of love, manliness</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religiosity</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Examine the role of social and political patronage of art and literature in perpetuating gendered</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Inequalities</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w:t>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Geetha, V. (2002). </w:t>
      </w:r>
      <w:r w:rsidDel="00000000" w:rsidR="00000000" w:rsidRPr="00000000">
        <w:rPr>
          <w:rFonts w:ascii="Times New Roman" w:cs="Times New Roman" w:eastAsia="Times New Roman" w:hAnsi="Times New Roman"/>
          <w:i w:val="1"/>
          <w:sz w:val="24"/>
          <w:szCs w:val="24"/>
          <w:rtl w:val="0"/>
        </w:rPr>
        <w:t xml:space="preserve">Gender. </w:t>
      </w:r>
      <w:r w:rsidDel="00000000" w:rsidR="00000000" w:rsidRPr="00000000">
        <w:rPr>
          <w:rFonts w:ascii="Times New Roman" w:cs="Times New Roman" w:eastAsia="Times New Roman" w:hAnsi="Times New Roman"/>
          <w:sz w:val="24"/>
          <w:szCs w:val="24"/>
          <w:rtl w:val="0"/>
        </w:rPr>
        <w:t xml:space="preserve">Calcutta: Stree.</w:t>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Kent, Susan Kingley. (2012).</w:t>
      </w:r>
      <w:r w:rsidDel="00000000" w:rsidR="00000000" w:rsidRPr="00000000">
        <w:rPr>
          <w:rFonts w:ascii="Times New Roman" w:cs="Times New Roman" w:eastAsia="Times New Roman" w:hAnsi="Times New Roman"/>
          <w:i w:val="1"/>
          <w:sz w:val="24"/>
          <w:szCs w:val="24"/>
          <w:rtl w:val="0"/>
        </w:rPr>
        <w:t xml:space="preserve">Gender and History. </w:t>
      </w:r>
      <w:r w:rsidDel="00000000" w:rsidR="00000000" w:rsidRPr="00000000">
        <w:rPr>
          <w:rFonts w:ascii="Times New Roman" w:cs="Times New Roman" w:eastAsia="Times New Roman" w:hAnsi="Times New Roman"/>
          <w:sz w:val="24"/>
          <w:szCs w:val="24"/>
          <w:rtl w:val="0"/>
        </w:rPr>
        <w:t xml:space="preserve">New York: Palgrave McMillan. pp. 49-75.</w:t>
      </w:r>
    </w:p>
    <w:p w:rsidR="00000000" w:rsidDel="00000000" w:rsidP="00000000" w:rsidRDefault="00000000" w:rsidRPr="00000000" w14:paraId="0000005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Scott, J. W. (1986). “Gender a useful Category of Historical Analysis”.</w:t>
      </w:r>
      <w:r w:rsidDel="00000000" w:rsidR="00000000" w:rsidRPr="00000000">
        <w:rPr>
          <w:rFonts w:ascii="Times New Roman" w:cs="Times New Roman" w:eastAsia="Times New Roman" w:hAnsi="Times New Roman"/>
          <w:i w:val="1"/>
          <w:sz w:val="24"/>
          <w:szCs w:val="24"/>
          <w:rtl w:val="0"/>
        </w:rPr>
        <w:t xml:space="preserve">The American Historical</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Review </w:t>
      </w:r>
      <w:r w:rsidDel="00000000" w:rsidR="00000000" w:rsidRPr="00000000">
        <w:rPr>
          <w:rFonts w:ascii="Times New Roman" w:cs="Times New Roman" w:eastAsia="Times New Roman" w:hAnsi="Times New Roman"/>
          <w:sz w:val="24"/>
          <w:szCs w:val="24"/>
          <w:rtl w:val="0"/>
        </w:rPr>
        <w:t xml:space="preserve">vol.91/9, pp.1056-1075.</w:t>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Lerner, G. (1979). </w:t>
      </w:r>
      <w:r w:rsidDel="00000000" w:rsidR="00000000" w:rsidRPr="00000000">
        <w:rPr>
          <w:rFonts w:ascii="Times New Roman" w:cs="Times New Roman" w:eastAsia="Times New Roman" w:hAnsi="Times New Roman"/>
          <w:i w:val="1"/>
          <w:sz w:val="24"/>
          <w:szCs w:val="24"/>
          <w:rtl w:val="0"/>
        </w:rPr>
        <w:t xml:space="preserve">The Majority Finds its Past: Placing Women in History. </w:t>
      </w:r>
      <w:r w:rsidDel="00000000" w:rsidR="00000000" w:rsidRPr="00000000">
        <w:rPr>
          <w:rFonts w:ascii="Times New Roman" w:cs="Times New Roman" w:eastAsia="Times New Roman" w:hAnsi="Times New Roman"/>
          <w:sz w:val="24"/>
          <w:szCs w:val="24"/>
          <w:rtl w:val="0"/>
        </w:rPr>
        <w:t xml:space="preserve">New York: Oxford</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Press.</w:t>
      </w:r>
    </w:p>
    <w:p w:rsidR="00000000" w:rsidDel="00000000" w:rsidP="00000000" w:rsidRDefault="00000000" w:rsidRPr="00000000" w14:paraId="00000059">
      <w:pPr>
        <w:tabs>
          <w:tab w:val="left" w:pos="4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Walby, S.(1990).</w:t>
      </w:r>
      <w:r w:rsidDel="00000000" w:rsidR="00000000" w:rsidRPr="00000000">
        <w:rPr>
          <w:rFonts w:ascii="Times New Roman" w:cs="Times New Roman" w:eastAsia="Times New Roman" w:hAnsi="Times New Roman"/>
          <w:i w:val="1"/>
          <w:sz w:val="24"/>
          <w:szCs w:val="24"/>
          <w:rtl w:val="0"/>
        </w:rPr>
        <w:t xml:space="preserve">Theorizing Patriarchy. </w:t>
      </w:r>
      <w:r w:rsidDel="00000000" w:rsidR="00000000" w:rsidRPr="00000000">
        <w:rPr>
          <w:rFonts w:ascii="Times New Roman" w:cs="Times New Roman" w:eastAsia="Times New Roman" w:hAnsi="Times New Roman"/>
          <w:sz w:val="24"/>
          <w:szCs w:val="24"/>
          <w:rtl w:val="0"/>
        </w:rPr>
        <w:t xml:space="preserve">Oxford: Basil Blackwell. pp.1-24, 109-127.</w:t>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2</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Bhattacharya, N.N. (1999). “Proprietary Rights of Women in Ancient India”, Kumkum,</w:t>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Roy (Ed.). </w:t>
      </w:r>
      <w:r w:rsidDel="00000000" w:rsidR="00000000" w:rsidRPr="00000000">
        <w:rPr>
          <w:rFonts w:ascii="Times New Roman" w:cs="Times New Roman" w:eastAsia="Times New Roman" w:hAnsi="Times New Roman"/>
          <w:i w:val="1"/>
          <w:sz w:val="24"/>
          <w:szCs w:val="24"/>
          <w:rtl w:val="0"/>
        </w:rPr>
        <w:t xml:space="preserve">Women in Early Indian Societies. </w:t>
      </w:r>
      <w:r w:rsidDel="00000000" w:rsidR="00000000" w:rsidRPr="00000000">
        <w:rPr>
          <w:rFonts w:ascii="Times New Roman" w:cs="Times New Roman" w:eastAsia="Times New Roman" w:hAnsi="Times New Roman"/>
          <w:sz w:val="24"/>
          <w:szCs w:val="24"/>
          <w:rtl w:val="0"/>
        </w:rPr>
        <w:t xml:space="preserve">Delhi: Manohar, pp.113-122.</w:t>
      </w:r>
    </w:p>
    <w:p w:rsidR="00000000" w:rsidDel="00000000" w:rsidP="00000000" w:rsidRDefault="00000000" w:rsidRPr="00000000" w14:paraId="0000005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Chakravarti, U. (2006). </w:t>
      </w:r>
      <w:r w:rsidDel="00000000" w:rsidR="00000000" w:rsidRPr="00000000">
        <w:rPr>
          <w:rFonts w:ascii="Times New Roman" w:cs="Times New Roman" w:eastAsia="Times New Roman" w:hAnsi="Times New Roman"/>
          <w:i w:val="1"/>
          <w:sz w:val="24"/>
          <w:szCs w:val="24"/>
          <w:rtl w:val="0"/>
        </w:rPr>
        <w:t xml:space="preserve">Everyday Lives Every Day Histories: Beyond the Kings and</w:t>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Brahmans of ‘Ancient’ India. </w:t>
      </w:r>
      <w:r w:rsidDel="00000000" w:rsidR="00000000" w:rsidRPr="00000000">
        <w:rPr>
          <w:rFonts w:ascii="Times New Roman" w:cs="Times New Roman" w:eastAsia="Times New Roman" w:hAnsi="Times New Roman"/>
          <w:sz w:val="24"/>
          <w:szCs w:val="24"/>
          <w:rtl w:val="0"/>
        </w:rPr>
        <w:t xml:space="preserve">Tulika Books: New Delhi.138-155.</w:t>
      </w:r>
    </w:p>
    <w:p w:rsidR="00000000" w:rsidDel="00000000" w:rsidP="00000000" w:rsidRDefault="00000000" w:rsidRPr="00000000" w14:paraId="0000006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Jaiswal, Suvira. (2008). “Caste, Gender and Ideology in the making of India”. </w:t>
      </w:r>
      <w:r w:rsidDel="00000000" w:rsidR="00000000" w:rsidRPr="00000000">
        <w:rPr>
          <w:rFonts w:ascii="Times New Roman" w:cs="Times New Roman" w:eastAsia="Times New Roman" w:hAnsi="Times New Roman"/>
          <w:i w:val="1"/>
          <w:sz w:val="24"/>
          <w:szCs w:val="24"/>
          <w:rtl w:val="0"/>
        </w:rPr>
        <w:t xml:space="preserve">Social Scientist</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 36, no. 1/2. pp. 3-39.</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Shah, S.(2012). </w:t>
      </w:r>
      <w:r w:rsidDel="00000000" w:rsidR="00000000" w:rsidRPr="00000000">
        <w:rPr>
          <w:rFonts w:ascii="Times New Roman" w:cs="Times New Roman" w:eastAsia="Times New Roman" w:hAnsi="Times New Roman"/>
          <w:i w:val="1"/>
          <w:sz w:val="24"/>
          <w:szCs w:val="24"/>
          <w:rtl w:val="0"/>
        </w:rPr>
        <w:t xml:space="preserve">The Making of Womanhood; Gender Relations in the Mahabharata. </w:t>
      </w:r>
      <w:r w:rsidDel="00000000" w:rsidR="00000000" w:rsidRPr="00000000">
        <w:rPr>
          <w:rFonts w:ascii="Times New Roman" w:cs="Times New Roman" w:eastAsia="Times New Roman" w:hAnsi="Times New Roman"/>
          <w:sz w:val="24"/>
          <w:szCs w:val="24"/>
          <w:rtl w:val="0"/>
        </w:rPr>
        <w:t xml:space="preserve">Revised</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Edition, Delhi: Manohar, pp. 32-83.</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Singh, Snigdha.(2018). ‘‘Exploring the Question of Gender at an Early Stupa: Inscriptions</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Images”’, Snigdha, Singh et. Al. (Ed.). </w:t>
      </w:r>
      <w:r w:rsidDel="00000000" w:rsidR="00000000" w:rsidRPr="00000000">
        <w:rPr>
          <w:rFonts w:ascii="Times New Roman" w:cs="Times New Roman" w:eastAsia="Times New Roman" w:hAnsi="Times New Roman"/>
          <w:i w:val="1"/>
          <w:sz w:val="24"/>
          <w:szCs w:val="24"/>
          <w:rtl w:val="0"/>
        </w:rPr>
        <w:t xml:space="preserve">Beyond the Woman Question: Reconstructing  Gendered Identities in Early India. </w:t>
      </w:r>
      <w:r w:rsidDel="00000000" w:rsidR="00000000" w:rsidRPr="00000000">
        <w:rPr>
          <w:rFonts w:ascii="Times New Roman" w:cs="Times New Roman" w:eastAsia="Times New Roman" w:hAnsi="Times New Roman"/>
          <w:sz w:val="24"/>
          <w:szCs w:val="24"/>
          <w:rtl w:val="0"/>
        </w:rPr>
        <w:t xml:space="preserve">Delhi: Primus Books, pp. 21-62.</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Tyagi, J. (2004). “Hierarchical Projections of Women in Household: Brahmanical Perceptions</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Recorded in the Early Grhyasutras c.800-500BC”. </w:t>
      </w:r>
      <w:r w:rsidDel="00000000" w:rsidR="00000000" w:rsidRPr="00000000">
        <w:rPr>
          <w:rFonts w:ascii="Times New Roman" w:cs="Times New Roman" w:eastAsia="Times New Roman" w:hAnsi="Times New Roman"/>
          <w:i w:val="1"/>
          <w:sz w:val="24"/>
          <w:szCs w:val="24"/>
          <w:rtl w:val="0"/>
        </w:rPr>
        <w:t xml:space="preserve">Social Scientist </w:t>
      </w:r>
      <w:r w:rsidDel="00000000" w:rsidR="00000000" w:rsidRPr="00000000">
        <w:rPr>
          <w:rFonts w:ascii="Times New Roman" w:cs="Times New Roman" w:eastAsia="Times New Roman" w:hAnsi="Times New Roman"/>
          <w:sz w:val="24"/>
          <w:szCs w:val="24"/>
          <w:rtl w:val="0"/>
        </w:rPr>
        <w:t xml:space="preserve">vol. 32, no.5-6, pp.3-20.</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Gabbay, Alyssa. (2011). “In Reality a Man: Sultan Iltutmish, His Daughter, Raziya, and</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Ambiguity in Thirteenth Century Northern India”. </w:t>
      </w:r>
      <w:r w:rsidDel="00000000" w:rsidR="00000000" w:rsidRPr="00000000">
        <w:rPr>
          <w:rFonts w:ascii="Times New Roman" w:cs="Times New Roman" w:eastAsia="Times New Roman" w:hAnsi="Times New Roman"/>
          <w:i w:val="1"/>
          <w:sz w:val="24"/>
          <w:szCs w:val="24"/>
          <w:rtl w:val="0"/>
        </w:rPr>
        <w:t xml:space="preserve">Journal of Persianate Studies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tabs>
          <w:tab w:val="left" w:pos="4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 4, 45-63.</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Roy, K. (2010). “Construction of Gender Relations in the Rajatarangini of Kalhana”;</w:t>
      </w:r>
    </w:p>
    <w:p w:rsidR="00000000" w:rsidDel="00000000" w:rsidP="00000000" w:rsidRDefault="00000000" w:rsidRPr="00000000" w14:paraId="0000006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“Gender Relations during the First Millenium: An Overview”, in Kumkum Roy, </w:t>
      </w:r>
      <w:r w:rsidDel="00000000" w:rsidR="00000000" w:rsidRPr="00000000">
        <w:rPr>
          <w:rFonts w:ascii="Times New Roman" w:cs="Times New Roman" w:eastAsia="Times New Roman" w:hAnsi="Times New Roman"/>
          <w:i w:val="1"/>
          <w:sz w:val="24"/>
          <w:szCs w:val="24"/>
          <w:rtl w:val="0"/>
        </w:rPr>
        <w:t xml:space="preserve">The</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Power of Gender and the Gender of Power, Explorations in Early Indian History, </w:t>
      </w:r>
      <w:r w:rsidDel="00000000" w:rsidR="00000000" w:rsidRPr="00000000">
        <w:rPr>
          <w:rFonts w:ascii="Times New Roman" w:cs="Times New Roman" w:eastAsia="Times New Roman" w:hAnsi="Times New Roman"/>
          <w:sz w:val="24"/>
          <w:szCs w:val="24"/>
          <w:rtl w:val="0"/>
        </w:rPr>
        <w:t xml:space="preserve">New</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Delhi: Oxford University Press, pp.142-164 and pp.195-222.</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Talbot, Cynthia. (1995). “Rudramba Devi The Female King: Gender and Political authority</w:t>
      </w:r>
    </w:p>
    <w:p w:rsidR="00000000" w:rsidDel="00000000" w:rsidP="00000000" w:rsidRDefault="00000000" w:rsidRPr="00000000" w14:paraId="0000007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 medieval India”. David Shulman(Ed.), </w:t>
      </w:r>
      <w:r w:rsidDel="00000000" w:rsidR="00000000" w:rsidRPr="00000000">
        <w:rPr>
          <w:rFonts w:ascii="Times New Roman" w:cs="Times New Roman" w:eastAsia="Times New Roman" w:hAnsi="Times New Roman"/>
          <w:i w:val="1"/>
          <w:sz w:val="24"/>
          <w:szCs w:val="24"/>
          <w:rtl w:val="0"/>
        </w:rPr>
        <w:t xml:space="preserve">Syllables of the Sky: Studies in South Indian</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Civilisation. </w:t>
      </w:r>
      <w:r w:rsidDel="00000000" w:rsidR="00000000" w:rsidRPr="00000000">
        <w:rPr>
          <w:rFonts w:ascii="Times New Roman" w:cs="Times New Roman" w:eastAsia="Times New Roman" w:hAnsi="Times New Roman"/>
          <w:sz w:val="24"/>
          <w:szCs w:val="24"/>
          <w:rtl w:val="0"/>
        </w:rPr>
        <w:t xml:space="preserve">OUP: New Delhi, pp.391-428.</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Sahgal, Smita. (2009-10). “Masculinity in Early India: Constructing an Embryonic</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Frame”. </w:t>
      </w:r>
      <w:r w:rsidDel="00000000" w:rsidR="00000000" w:rsidRPr="00000000">
        <w:rPr>
          <w:rFonts w:ascii="Times New Roman" w:cs="Times New Roman" w:eastAsia="Times New Roman" w:hAnsi="Times New Roman"/>
          <w:i w:val="1"/>
          <w:sz w:val="24"/>
          <w:szCs w:val="24"/>
          <w:rtl w:val="0"/>
        </w:rPr>
        <w:t xml:space="preserve">Proceedings of Indian History Congress</w:t>
      </w:r>
      <w:r w:rsidDel="00000000" w:rsidR="00000000" w:rsidRPr="00000000">
        <w:rPr>
          <w:rFonts w:ascii="Times New Roman" w:cs="Times New Roman" w:eastAsia="Times New Roman" w:hAnsi="Times New Roman"/>
          <w:sz w:val="24"/>
          <w:szCs w:val="24"/>
          <w:rtl w:val="0"/>
        </w:rPr>
        <w:t xml:space="preserve">vol.70, pp. 151-163.</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Zwilling, L and M. Sweet. (1996). “Like a City Ablaze’: The Third Sex and the Creation</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Sexuality in Jain Religious Literature.” </w:t>
      </w:r>
      <w:r w:rsidDel="00000000" w:rsidR="00000000" w:rsidRPr="00000000">
        <w:rPr>
          <w:rFonts w:ascii="Times New Roman" w:cs="Times New Roman" w:eastAsia="Times New Roman" w:hAnsi="Times New Roman"/>
          <w:i w:val="1"/>
          <w:sz w:val="24"/>
          <w:szCs w:val="24"/>
          <w:rtl w:val="0"/>
        </w:rPr>
        <w:t xml:space="preserve">Journal of History of Sexuality. </w:t>
      </w:r>
      <w:r w:rsidDel="00000000" w:rsidR="00000000" w:rsidRPr="00000000">
        <w:rPr>
          <w:rFonts w:ascii="Times New Roman" w:cs="Times New Roman" w:eastAsia="Times New Roman" w:hAnsi="Times New Roman"/>
          <w:sz w:val="24"/>
          <w:szCs w:val="24"/>
          <w:rtl w:val="0"/>
        </w:rPr>
        <w:t xml:space="preserve">vol.6/3, pp.</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359-384.</w:t>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3</w:t>
      </w:r>
    </w:p>
    <w:p w:rsidR="00000000" w:rsidDel="00000000" w:rsidP="00000000" w:rsidRDefault="00000000" w:rsidRPr="00000000" w14:paraId="00000079">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Blackstone, R. K. (1998).</w:t>
      </w:r>
      <w:r w:rsidDel="00000000" w:rsidR="00000000" w:rsidRPr="00000000">
        <w:rPr>
          <w:rFonts w:ascii="Times New Roman" w:cs="Times New Roman" w:eastAsia="Times New Roman" w:hAnsi="Times New Roman"/>
          <w:i w:val="1"/>
          <w:sz w:val="24"/>
          <w:szCs w:val="24"/>
          <w:rtl w:val="0"/>
        </w:rPr>
        <w:t xml:space="preserve">Women in the Footsteps of Buddha: Struggle for Liberation in the</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Therigathas. </w:t>
      </w:r>
      <w:r w:rsidDel="00000000" w:rsidR="00000000" w:rsidRPr="00000000">
        <w:rPr>
          <w:rFonts w:ascii="Times New Roman" w:cs="Times New Roman" w:eastAsia="Times New Roman" w:hAnsi="Times New Roman"/>
          <w:sz w:val="24"/>
          <w:szCs w:val="24"/>
          <w:rtl w:val="0"/>
        </w:rPr>
        <w:t xml:space="preserve">Britain: Curzon Press.</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Chitgopekar, N. (2002). ‘Indian Goddess: Persevering and Antinomian Presences’; and</w:t>
      </w:r>
    </w:p>
    <w:p w:rsidR="00000000" w:rsidDel="00000000" w:rsidP="00000000" w:rsidRDefault="00000000" w:rsidRPr="00000000" w14:paraId="0000007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Kumkum, Roy. “Goddess in the Rgveda-An Investigation” NilimaChitgopekar (Ed.), </w:t>
      </w:r>
      <w:r w:rsidDel="00000000" w:rsidR="00000000" w:rsidRPr="00000000">
        <w:rPr>
          <w:rFonts w:ascii="Times New Roman" w:cs="Times New Roman" w:eastAsia="Times New Roman" w:hAnsi="Times New Roman"/>
          <w:i w:val="1"/>
          <w:sz w:val="24"/>
          <w:szCs w:val="24"/>
          <w:rtl w:val="0"/>
        </w:rPr>
        <w:t xml:space="preserve">Invoking</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Goddess, Gender Politics in Indian Religion. </w:t>
      </w:r>
      <w:r w:rsidDel="00000000" w:rsidR="00000000" w:rsidRPr="00000000">
        <w:rPr>
          <w:rFonts w:ascii="Times New Roman" w:cs="Times New Roman" w:eastAsia="Times New Roman" w:hAnsi="Times New Roman"/>
          <w:sz w:val="24"/>
          <w:szCs w:val="24"/>
          <w:rtl w:val="0"/>
        </w:rPr>
        <w:t xml:space="preserve">Delhi: Shakti Books, pp.11-61.</w:t>
      </w:r>
    </w:p>
    <w:p w:rsidR="00000000" w:rsidDel="00000000" w:rsidP="00000000" w:rsidRDefault="00000000" w:rsidRPr="00000000" w14:paraId="0000007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Chakrabarti, Kunal. (2001). “Introduction”. </w:t>
      </w:r>
      <w:r w:rsidDel="00000000" w:rsidR="00000000" w:rsidRPr="00000000">
        <w:rPr>
          <w:rFonts w:ascii="Times New Roman" w:cs="Times New Roman" w:eastAsia="Times New Roman" w:hAnsi="Times New Roman"/>
          <w:i w:val="1"/>
          <w:sz w:val="24"/>
          <w:szCs w:val="24"/>
          <w:rtl w:val="0"/>
        </w:rPr>
        <w:t xml:space="preserve">The Religious Process: The Puranic and the</w:t>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Making of a Religious Tradition. </w:t>
      </w:r>
      <w:r w:rsidDel="00000000" w:rsidR="00000000" w:rsidRPr="00000000">
        <w:rPr>
          <w:rFonts w:ascii="Times New Roman" w:cs="Times New Roman" w:eastAsia="Times New Roman" w:hAnsi="Times New Roman"/>
          <w:sz w:val="24"/>
          <w:szCs w:val="24"/>
          <w:rtl w:val="0"/>
        </w:rPr>
        <w:t xml:space="preserve">Delhi: Oxford University Press, pp.1-43.</w:t>
      </w:r>
    </w:p>
    <w:p w:rsidR="00000000" w:rsidDel="00000000" w:rsidP="00000000" w:rsidRDefault="00000000" w:rsidRPr="00000000" w14:paraId="0000008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Jha, Pankaj. (2019). ‘Political Ethics and the Art of Being a Man’. Pankaj Jha, </w:t>
      </w:r>
      <w:r w:rsidDel="00000000" w:rsidR="00000000" w:rsidRPr="00000000">
        <w:rPr>
          <w:rFonts w:ascii="Times New Roman" w:cs="Times New Roman" w:eastAsia="Times New Roman" w:hAnsi="Times New Roman"/>
          <w:i w:val="1"/>
          <w:sz w:val="24"/>
          <w:szCs w:val="24"/>
          <w:rtl w:val="0"/>
        </w:rPr>
        <w:t xml:space="preserve">A political</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History of Literature: Vidyapati and the Fifteenth Century. </w:t>
      </w:r>
      <w:r w:rsidDel="00000000" w:rsidR="00000000" w:rsidRPr="00000000">
        <w:rPr>
          <w:rFonts w:ascii="Times New Roman" w:cs="Times New Roman" w:eastAsia="Times New Roman" w:hAnsi="Times New Roman"/>
          <w:sz w:val="24"/>
          <w:szCs w:val="24"/>
          <w:rtl w:val="0"/>
        </w:rPr>
        <w:t xml:space="preserve">Delhi:Oxford University Press,</w:t>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pp.133-183.</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Sreenivasan, Ramya.(2003). “Padmini, The Ideal Queen: Sufi and Rajput Codes in Malik</w:t>
      </w:r>
    </w:p>
    <w:p w:rsidR="00000000" w:rsidDel="00000000" w:rsidP="00000000" w:rsidRDefault="00000000" w:rsidRPr="00000000" w14:paraId="0000008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Muhammad Jayasi's Padmavat”. Vijaya Ramaswamy, (Ed.), </w:t>
      </w:r>
      <w:r w:rsidDel="00000000" w:rsidR="00000000" w:rsidRPr="00000000">
        <w:rPr>
          <w:rFonts w:ascii="Times New Roman" w:cs="Times New Roman" w:eastAsia="Times New Roman" w:hAnsi="Times New Roman"/>
          <w:i w:val="1"/>
          <w:sz w:val="24"/>
          <w:szCs w:val="24"/>
          <w:rtl w:val="0"/>
        </w:rPr>
        <w:t xml:space="preserve">Re-searching Indian Women.</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Delhi: Manohar, pp. 97-118.</w:t>
      </w:r>
    </w:p>
    <w:p w:rsidR="00000000" w:rsidDel="00000000" w:rsidP="00000000" w:rsidRDefault="00000000" w:rsidRPr="00000000" w14:paraId="0000008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Sangari, Kumkum. (1990) “Mirabai and the Spiritual Economy of Bhakti”.</w:t>
      </w:r>
      <w:r w:rsidDel="00000000" w:rsidR="00000000" w:rsidRPr="00000000">
        <w:rPr>
          <w:rFonts w:ascii="Times New Roman" w:cs="Times New Roman" w:eastAsia="Times New Roman" w:hAnsi="Times New Roman"/>
          <w:i w:val="1"/>
          <w:sz w:val="24"/>
          <w:szCs w:val="24"/>
          <w:rtl w:val="0"/>
        </w:rPr>
        <w:t xml:space="preserve">Economic and</w:t>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Political Weekly, </w:t>
      </w:r>
      <w:r w:rsidDel="00000000" w:rsidR="00000000" w:rsidRPr="00000000">
        <w:rPr>
          <w:rFonts w:ascii="Times New Roman" w:cs="Times New Roman" w:eastAsia="Times New Roman" w:hAnsi="Times New Roman"/>
          <w:sz w:val="24"/>
          <w:szCs w:val="24"/>
          <w:rtl w:val="0"/>
        </w:rPr>
        <w:t xml:space="preserve">vol. 25/ 27. July 7, pp. 1461-1475.</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Mahalaksmi, R. (2011). “Inscribing the Goddess: Female Deities in Early Medieval Inscriptions</w:t>
      </w:r>
    </w:p>
    <w:p w:rsidR="00000000" w:rsidDel="00000000" w:rsidP="00000000" w:rsidRDefault="00000000" w:rsidRPr="00000000" w14:paraId="00000089">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from Tamil Region”, R., Mahalakshmi. </w:t>
      </w:r>
      <w:r w:rsidDel="00000000" w:rsidR="00000000" w:rsidRPr="00000000">
        <w:rPr>
          <w:rFonts w:ascii="Times New Roman" w:cs="Times New Roman" w:eastAsia="Times New Roman" w:hAnsi="Times New Roman"/>
          <w:i w:val="1"/>
          <w:sz w:val="24"/>
          <w:szCs w:val="24"/>
          <w:rtl w:val="0"/>
        </w:rPr>
        <w:t xml:space="preserve">The Making of the Goddess: Korravai-Durga in</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Tamil Traditions. </w:t>
      </w:r>
      <w:r w:rsidDel="00000000" w:rsidR="00000000" w:rsidRPr="00000000">
        <w:rPr>
          <w:rFonts w:ascii="Times New Roman" w:cs="Times New Roman" w:eastAsia="Times New Roman" w:hAnsi="Times New Roman"/>
          <w:sz w:val="24"/>
          <w:szCs w:val="24"/>
          <w:rtl w:val="0"/>
        </w:rPr>
        <w:t xml:space="preserve">New Delhi: Penguin Books India, pp. 156-98.</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Ramaswamy, V. (1997). “Rebels- House wives”; and “Women in and Out: Women within the</w:t>
      </w:r>
    </w:p>
    <w:p w:rsidR="00000000" w:rsidDel="00000000" w:rsidP="00000000" w:rsidRDefault="00000000" w:rsidRPr="00000000" w14:paraId="0000008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WarkariPanths”. Vijaya, Ramaswamy, </w:t>
      </w:r>
      <w:r w:rsidDel="00000000" w:rsidR="00000000" w:rsidRPr="00000000">
        <w:rPr>
          <w:rFonts w:ascii="Times New Roman" w:cs="Times New Roman" w:eastAsia="Times New Roman" w:hAnsi="Times New Roman"/>
          <w:i w:val="1"/>
          <w:sz w:val="24"/>
          <w:szCs w:val="24"/>
          <w:rtl w:val="0"/>
        </w:rPr>
        <w:t xml:space="preserve">Walking Naked: Women and Spirituality in South India.</w:t>
      </w:r>
    </w:p>
    <w:p w:rsidR="00000000" w:rsidDel="00000000" w:rsidP="00000000" w:rsidRDefault="00000000" w:rsidRPr="00000000" w14:paraId="0000008D">
      <w:pPr>
        <w:tabs>
          <w:tab w:val="left" w:pos="4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Simla: Indian Institute of Advanced Study, pp.145-194; pp.195-230.</w:t>
      </w:r>
    </w:p>
    <w:p w:rsidR="00000000" w:rsidDel="00000000" w:rsidP="00000000" w:rsidRDefault="00000000" w:rsidRPr="00000000" w14:paraId="0000008E">
      <w:pPr>
        <w:tabs>
          <w:tab w:val="left" w:pos="4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