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pPr>
      <w:r>
        <w:rPr>
          <w:rtl w:val="0"/>
          <w:lang w:val="en-US"/>
        </w:rPr>
        <w:t>TEACHING PLAN FOR ACADEMIC YEAR 2021-22</w:t>
      </w:r>
    </w:p>
    <w:p>
      <w:pPr>
        <w:pStyle w:val="Body A"/>
        <w:rPr>
          <w:rFonts w:ascii="Canela Text Bold" w:cs="Canela Text Bold" w:hAnsi="Canela Text Bold" w:eastAsia="Canela Text Bold"/>
        </w:rPr>
      </w:pPr>
      <w:r>
        <w:rPr>
          <w:rtl w:val="0"/>
          <w:lang w:val="en-US"/>
        </w:rPr>
        <w:t xml:space="preserve">                                                  </w:t>
      </w:r>
      <w:r>
        <w:rPr>
          <w:rFonts w:ascii="Canela Text Bold" w:hAnsi="Canela Text Bold"/>
          <w:rtl w:val="0"/>
          <w:lang w:val="en-US"/>
        </w:rPr>
        <w:t xml:space="preserve">  BA History Hons</w:t>
      </w:r>
    </w:p>
    <w:p>
      <w:pPr>
        <w:pStyle w:val="Contact Information"/>
      </w:pPr>
      <w:r>
        <w:rPr>
          <w:rtl w:val="0"/>
          <w:lang w:val="en-US"/>
        </w:rPr>
        <w:t>Paper : SEC Course III- Indian Art and Architecture</w:t>
      </w:r>
    </w:p>
    <w:p>
      <w:pPr>
        <w:pStyle w:val="Contact Information"/>
      </w:pPr>
      <w:r>
        <w:rPr>
          <w:rtl w:val="0"/>
          <w:lang w:val="en-US"/>
        </w:rPr>
        <w:t>Semester IV</w:t>
      </w:r>
    </w:p>
    <w:p>
      <w:pPr>
        <w:pStyle w:val="Contact Information"/>
      </w:pPr>
      <w:r>
        <w:rPr>
          <w:rtl w:val="0"/>
          <w:lang w:val="en-US"/>
        </w:rPr>
        <w:t>Session 2021-22</w:t>
      </w:r>
    </w:p>
    <w:p>
      <w:pPr>
        <w:pStyle w:val="Contact Information"/>
      </w:pPr>
      <w:r>
        <w:rPr>
          <w:rtl w:val="0"/>
          <w:lang w:val="en-US"/>
        </w:rPr>
        <w:t>Teacher Name :Dr Fatima Hussain</w:t>
      </w:r>
    </w:p>
    <w:p>
      <w:pPr>
        <w:pStyle w:val="Contact Information"/>
      </w:pPr>
    </w:p>
    <w:p>
      <w:pPr>
        <w:pStyle w:val="Body A"/>
      </w:pPr>
    </w:p>
    <w:p>
      <w:pPr>
        <w:pStyle w:val="Addressee"/>
      </w:pPr>
      <w:r>
        <w:rPr>
          <w:rtl w:val="0"/>
          <w:lang w:val="en-US"/>
        </w:rPr>
        <w:t>SYLLBUS</w:t>
      </w:r>
    </w:p>
    <w:p>
      <w:pPr>
        <w:pStyle w:val="Addressee"/>
      </w:pPr>
      <w:r>
        <w:rPr>
          <w:rtl w:val="0"/>
          <w:lang w:val="en-US"/>
        </w:rPr>
        <w:t>Course Content</w:t>
      </w:r>
    </w:p>
    <w:p>
      <w:pPr>
        <w:pStyle w:val="Addressee"/>
      </w:pPr>
    </w:p>
    <w:p>
      <w:pPr>
        <w:pStyle w:val="Body A"/>
      </w:pPr>
      <w:r>
        <w:rPr>
          <w:rtl w:val="0"/>
          <w:lang w:val="en-US"/>
        </w:rPr>
        <w:t>Unit I: Perspectives on Indian Art and Architecture.</w:t>
      </w:r>
    </w:p>
    <w:p>
      <w:pPr>
        <w:pStyle w:val="Body A"/>
        <w:rPr>
          <w:sz w:val="24"/>
          <w:szCs w:val="24"/>
        </w:rPr>
      </w:pPr>
      <w:r>
        <w:rPr>
          <w:rtl w:val="0"/>
          <w:lang w:val="en-US"/>
        </w:rPr>
        <w:t xml:space="preserve">Unit II: Sculpture: styles, iconography. </w:t>
      </w:r>
    </w:p>
    <w:p>
      <w:pPr>
        <w:pStyle w:val="Body A"/>
      </w:pPr>
      <w:r>
        <w:rPr>
          <w:rtl w:val="0"/>
          <w:lang w:val="en-US"/>
        </w:rPr>
        <w:t>Unit III: Architecture: forms, contexts.</w:t>
      </w:r>
    </w:p>
    <w:p>
      <w:pPr>
        <w:pStyle w:val="Body A"/>
      </w:pPr>
      <w:r>
        <w:rPr>
          <w:rtl w:val="0"/>
          <w:lang w:val="en-US"/>
        </w:rPr>
        <w:t>Unit IV: Painting: styles, representation, popular and folk.</w:t>
      </w:r>
    </w:p>
    <w:p>
      <w:pPr>
        <w:pStyle w:val="Body A"/>
      </w:pPr>
      <w:r>
        <w:rPr>
          <w:rtl w:val="0"/>
          <w:lang w:val="en-US"/>
        </w:rPr>
        <w:t xml:space="preserve">Unit V: Field trips as a part of the Project work </w:t>
      </w:r>
    </w:p>
    <w:p>
      <w:pPr>
        <w:pStyle w:val="Body A"/>
      </w:pPr>
    </w:p>
    <w:p>
      <w:pPr>
        <w:pStyle w:val="Body A"/>
      </w:pPr>
      <w:r>
        <w:rPr>
          <w:rtl w:val="0"/>
          <w:lang w:val="en-US"/>
        </w:rPr>
        <w:t>COURSE DESCRIPTION</w:t>
      </w:r>
    </w:p>
    <w:p>
      <w:pPr>
        <w:pStyle w:val="Body A"/>
      </w:pPr>
      <w:r>
        <w:rPr>
          <w:rtl w:val="0"/>
          <w:lang w:val="en-US"/>
        </w:rPr>
        <w:t xml:space="preserve">This course aims to provide an understanding of Indian art forms from ancient to contemporary times, fostering appreciation of its diversity and plurality of aesthetic richness. The course begins with how Indian art was perceived in the west and the construction of the orientalist canon, laying stress on the primacy of religion and race in Indian art and superiority of Western aesthetics.It also explores the nationalist response, underlining the transcendental and metaphysical aspects of Indian art, which gave it its </w:t>
      </w:r>
      <w:r>
        <w:rPr>
          <w:rFonts w:ascii="Arial Unicode MS" w:hAnsi="Arial Unicode MS" w:hint="default"/>
          <w:rtl w:val="0"/>
          <w:lang w:val="en-US"/>
        </w:rPr>
        <w:t>‘</w:t>
      </w:r>
      <w:r>
        <w:rPr>
          <w:rtl w:val="0"/>
          <w:lang w:val="it-IT"/>
        </w:rPr>
        <w:t>Indianess</w:t>
      </w:r>
      <w:r>
        <w:rPr>
          <w:rFonts w:ascii="Arial Unicode MS" w:hAnsi="Arial Unicode MS" w:hint="default"/>
          <w:rtl w:val="0"/>
          <w:lang w:val="en-US"/>
        </w:rPr>
        <w:t xml:space="preserve">’ </w:t>
      </w:r>
      <w:r>
        <w:rPr>
          <w:rtl w:val="0"/>
          <w:lang w:val="en-US"/>
        </w:rPr>
        <w:t>and reviews new concerns in Indian art studies regarding its social context. The course studies three vital manifestations of Indian art, keeping in view the transitions in terms of style, material, historical contexts, regional variations, elite/popular art, patterns of patronage, representation of gender and the study of iconography of different works of art.</w:t>
      </w:r>
    </w:p>
    <w:p>
      <w:pPr>
        <w:pStyle w:val="Body A"/>
      </w:pPr>
    </w:p>
    <w:p>
      <w:pPr>
        <w:pStyle w:val="Body A"/>
      </w:pPr>
      <w:r>
        <w:rPr>
          <w:rtl w:val="0"/>
          <w:lang w:val="en-US"/>
        </w:rPr>
        <w:t>TEACHING TIME (No. of Weeks) 16 weeks - 3+ 1 credits</w:t>
      </w:r>
    </w:p>
    <w:p>
      <w:pPr>
        <w:pStyle w:val="Body A"/>
      </w:pPr>
    </w:p>
    <w:p>
      <w:pPr>
        <w:pStyle w:val="Body A"/>
      </w:pPr>
      <w:r>
        <w:rPr>
          <w:rtl w:val="0"/>
          <w:lang w:val="en-US"/>
        </w:rPr>
        <w:t>CLASSES :64 Classes</w:t>
      </w:r>
    </w:p>
    <w:p>
      <w:pPr>
        <w:pStyle w:val="Body A"/>
      </w:pPr>
    </w:p>
    <w:p>
      <w:pPr>
        <w:pStyle w:val="Body A"/>
      </w:pPr>
      <w:r>
        <w:rPr>
          <w:rtl w:val="0"/>
          <w:lang w:val="en-US"/>
        </w:rPr>
        <w:t>UNIT WISE BREAKUP OF SYLLABUS</w:t>
      </w:r>
    </w:p>
    <w:p>
      <w:pPr>
        <w:pStyle w:val="Body A"/>
      </w:pPr>
      <w:r>
        <w:rPr>
          <w:rtl w:val="0"/>
          <w:lang w:val="en-US"/>
        </w:rPr>
        <w:t>Unit I: Perspectives on Indian Art and Architecture. (2 Weeks)</w:t>
      </w:r>
    </w:p>
    <w:p>
      <w:pPr>
        <w:pStyle w:val="Body A"/>
      </w:pPr>
      <w:r>
        <w:rPr>
          <w:rtl w:val="0"/>
          <w:lang w:val="en-US"/>
        </w:rPr>
        <w:t xml:space="preserve">a. Historiography of Indian art: orientalists, nationalist and the making of </w:t>
      </w:r>
      <w:r>
        <w:rPr>
          <w:rFonts w:ascii="Arial Unicode MS" w:hAnsi="Arial Unicode MS" w:hint="default"/>
          <w:rtl w:val="0"/>
          <w:lang w:val="en-US"/>
        </w:rPr>
        <w:t>‘</w:t>
      </w:r>
      <w:r>
        <w:rPr>
          <w:rtl w:val="0"/>
          <w:lang w:val="en-US"/>
        </w:rPr>
        <w:t>Indi-</w:t>
      </w:r>
    </w:p>
    <w:p>
      <w:pPr>
        <w:pStyle w:val="Body A"/>
      </w:pPr>
      <w:r>
        <w:rPr>
          <w:rtl w:val="0"/>
          <w:lang w:val="en-US"/>
        </w:rPr>
        <w:t>an</w:t>
      </w:r>
      <w:r>
        <w:rPr>
          <w:rFonts w:ascii="Arial Unicode MS" w:hAnsi="Arial Unicode MS" w:hint="default"/>
          <w:rtl w:val="0"/>
          <w:lang w:val="en-US"/>
        </w:rPr>
        <w:t xml:space="preserve">’ </w:t>
      </w:r>
      <w:r>
        <w:rPr>
          <w:rtl w:val="0"/>
          <w:lang w:val="en-US"/>
        </w:rPr>
        <w:t>art.</w:t>
      </w:r>
    </w:p>
    <w:p>
      <w:pPr>
        <w:pStyle w:val="Body A"/>
      </w:pPr>
      <w:r>
        <w:rPr>
          <w:rtl w:val="0"/>
          <w:lang w:val="en-US"/>
        </w:rPr>
        <w:t>b. Categories of classical/high/elite and popular/folk/tribal art and crafts; regional variations.</w:t>
      </w:r>
    </w:p>
    <w:p>
      <w:pPr>
        <w:pStyle w:val="Body A"/>
      </w:pPr>
    </w:p>
    <w:p>
      <w:pPr>
        <w:pStyle w:val="Body A"/>
      </w:pPr>
      <w:r>
        <w:rPr>
          <w:rtl w:val="0"/>
          <w:lang w:val="en-US"/>
        </w:rPr>
        <w:t>Unit II: Sculpture: styles, iconography. (3 Weeks)</w:t>
      </w:r>
    </w:p>
    <w:p>
      <w:pPr>
        <w:pStyle w:val="Body A"/>
      </w:pPr>
      <w:r>
        <w:rPr>
          <w:rtl w:val="0"/>
          <w:lang w:val="en-US"/>
        </w:rPr>
        <w:t>a. Gandhara and Mathura.</w:t>
      </w:r>
    </w:p>
    <w:p>
      <w:pPr>
        <w:pStyle w:val="Body A"/>
        <w:rPr>
          <w:lang w:val="pt-PT"/>
        </w:rPr>
      </w:pPr>
      <w:r>
        <w:rPr>
          <w:rtl w:val="0"/>
          <w:lang w:val="pt-PT"/>
        </w:rPr>
        <w:t>b. Chola bronzes.</w:t>
      </w:r>
    </w:p>
    <w:p>
      <w:pPr>
        <w:pStyle w:val="Body A"/>
        <w:rPr>
          <w:lang w:val="it-IT"/>
        </w:rPr>
      </w:pPr>
      <w:r>
        <w:rPr>
          <w:rtl w:val="0"/>
          <w:lang w:val="it-IT"/>
        </w:rPr>
        <w:t>c. Terracotta art.</w:t>
      </w:r>
    </w:p>
    <w:p>
      <w:pPr>
        <w:pStyle w:val="Body A"/>
      </w:pPr>
    </w:p>
    <w:p>
      <w:pPr>
        <w:pStyle w:val="Body A"/>
      </w:pPr>
      <w:r>
        <w:rPr>
          <w:rtl w:val="0"/>
          <w:lang w:val="en-US"/>
        </w:rPr>
        <w:t>Unit III: Architecture: forms, contexts.(5 Weeks)</w:t>
      </w:r>
    </w:p>
    <w:p>
      <w:pPr>
        <w:pStyle w:val="Body A"/>
      </w:pPr>
      <w:r>
        <w:rPr>
          <w:rtl w:val="0"/>
          <w:lang w:val="en-US"/>
        </w:rPr>
        <w:t>a. Sanchi: stupa and monastery architecture, pattern of patronage.</w:t>
      </w:r>
    </w:p>
    <w:p>
      <w:pPr>
        <w:pStyle w:val="Body A"/>
      </w:pPr>
      <w:r>
        <w:rPr>
          <w:rtl w:val="0"/>
          <w:lang w:val="en-US"/>
        </w:rPr>
        <w:t>b. Brihadeshwara: the Dravida style,imperial iconography.</w:t>
      </w:r>
    </w:p>
    <w:p>
      <w:pPr>
        <w:pStyle w:val="Body A"/>
      </w:pPr>
      <w:r>
        <w:rPr>
          <w:rtl w:val="0"/>
          <w:lang w:val="en-US"/>
        </w:rPr>
        <w:t>c. Khajuraho temple complex: the Nagar style, iconic scheme, patterns of pat-</w:t>
      </w:r>
    </w:p>
    <w:p>
      <w:pPr>
        <w:pStyle w:val="Body A"/>
        <w:rPr>
          <w:lang w:val="pt-PT"/>
        </w:rPr>
      </w:pPr>
      <w:r>
        <w:rPr>
          <w:rtl w:val="0"/>
          <w:lang w:val="pt-PT"/>
        </w:rPr>
        <w:t>ronage.</w:t>
      </w:r>
    </w:p>
    <w:p>
      <w:pPr>
        <w:pStyle w:val="Body A"/>
      </w:pPr>
      <w:r>
        <w:rPr>
          <w:rtl w:val="0"/>
          <w:lang w:val="en-US"/>
        </w:rPr>
        <w:t>d. Jama Masjid: the mosque of Shahjahanabad.</w:t>
      </w:r>
    </w:p>
    <w:p>
      <w:pPr>
        <w:pStyle w:val="Body A"/>
      </w:pPr>
      <w:r>
        <w:rPr>
          <w:rtl w:val="0"/>
          <w:lang w:val="en-US"/>
        </w:rPr>
        <w:t>e. Humayun</w:t>
      </w:r>
      <w:r>
        <w:rPr>
          <w:rFonts w:ascii="Arial Unicode MS" w:hAnsi="Arial Unicode MS" w:hint="default"/>
          <w:rtl w:val="0"/>
          <w:lang w:val="en-US"/>
        </w:rPr>
        <w:t>’</w:t>
      </w:r>
      <w:r>
        <w:rPr>
          <w:rtl w:val="0"/>
          <w:lang w:val="en-US"/>
        </w:rPr>
        <w:t>s Tomb: Timurid prototype, introduction of the Persian chaharbagh.</w:t>
      </w:r>
    </w:p>
    <w:p>
      <w:pPr>
        <w:pStyle w:val="Body A"/>
      </w:pPr>
      <w:r>
        <w:rPr>
          <w:rtl w:val="0"/>
          <w:lang w:val="en-US"/>
        </w:rPr>
        <w:t>f. Sufi Dargahs: NizamudinAuliya dargah at Delhi.</w:t>
      </w:r>
    </w:p>
    <w:p>
      <w:pPr>
        <w:pStyle w:val="Body A"/>
      </w:pPr>
      <w:r>
        <w:rPr>
          <w:rtl w:val="0"/>
          <w:lang w:val="en-US"/>
        </w:rPr>
        <w:t>g. Construction of New Delhi and the imperial vision.</w:t>
      </w:r>
    </w:p>
    <w:p>
      <w:pPr>
        <w:pStyle w:val="Body A"/>
      </w:pPr>
    </w:p>
    <w:p>
      <w:pPr>
        <w:pStyle w:val="Body A"/>
      </w:pPr>
      <w:r>
        <w:rPr>
          <w:rtl w:val="0"/>
          <w:lang w:val="en-US"/>
        </w:rPr>
        <w:t>Unit IV: Painting: styles, representation, popular and folk.(4 Weeks)</w:t>
      </w:r>
    </w:p>
    <w:p>
      <w:pPr>
        <w:pStyle w:val="Body A"/>
      </w:pPr>
      <w:r>
        <w:rPr>
          <w:rtl w:val="0"/>
          <w:lang w:val="en-US"/>
        </w:rPr>
        <w:t>a. Ajanta Murals: characteristics, material culture.</w:t>
      </w:r>
    </w:p>
    <w:p>
      <w:pPr>
        <w:pStyle w:val="Body A"/>
      </w:pPr>
    </w:p>
    <w:p>
      <w:pPr>
        <w:pStyle w:val="Body A"/>
      </w:pPr>
      <w:r>
        <w:rPr>
          <w:rtl w:val="0"/>
          <w:lang w:val="en-US"/>
        </w:rPr>
        <w:t>b. Mughal painting: formation of the school, features, themes, artist-patron relationship.</w:t>
      </w:r>
    </w:p>
    <w:p>
      <w:pPr>
        <w:pStyle w:val="Body A"/>
      </w:pPr>
      <w:r>
        <w:rPr>
          <w:rtl w:val="0"/>
          <w:lang w:val="en-US"/>
        </w:rPr>
        <w:t>c. Kangra painting: spectatorship and femininity.</w:t>
      </w:r>
    </w:p>
    <w:p>
      <w:pPr>
        <w:pStyle w:val="Body A"/>
      </w:pPr>
      <w:r>
        <w:rPr>
          <w:rtl w:val="0"/>
          <w:lang w:val="en-US"/>
        </w:rPr>
        <w:t>d. Colonial art and modernism in India: Raja Ravi Verma; the Bengal school;</w:t>
      </w:r>
    </w:p>
    <w:p>
      <w:pPr>
        <w:pStyle w:val="Body A"/>
        <w:rPr>
          <w:lang w:val="pt-PT"/>
        </w:rPr>
      </w:pPr>
      <w:r>
        <w:rPr>
          <w:rtl w:val="0"/>
          <w:lang w:val="pt-PT"/>
        </w:rPr>
        <w:t>Amrita Sher-Gil; M. F. Husain.</w:t>
      </w:r>
    </w:p>
    <w:p>
      <w:pPr>
        <w:pStyle w:val="Body A"/>
      </w:pPr>
      <w:r>
        <w:rPr>
          <w:rtl w:val="0"/>
          <w:lang w:val="en-US"/>
        </w:rPr>
        <w:t>e. Folk, tribal art: Maithili painting.</w:t>
      </w:r>
    </w:p>
    <w:p>
      <w:pPr>
        <w:pStyle w:val="Body A"/>
      </w:pPr>
    </w:p>
    <w:p>
      <w:pPr>
        <w:pStyle w:val="Body A"/>
      </w:pPr>
      <w:r>
        <w:rPr>
          <w:rtl w:val="0"/>
          <w:lang w:val="en-US"/>
        </w:rPr>
        <w:t>Unit V: Field trips as a part of the Project work.</w:t>
      </w:r>
    </w:p>
    <w:p>
      <w:pPr>
        <w:pStyle w:val="Body A"/>
      </w:pPr>
    </w:p>
    <w:p>
      <w:pPr>
        <w:pStyle w:val="Body A"/>
      </w:pPr>
      <w:r>
        <w:rPr>
          <w:rtl w:val="0"/>
          <w:lang w:val="en-US"/>
        </w:rPr>
        <w:t>ASSESSMENT</w:t>
      </w:r>
    </w:p>
    <w:p>
      <w:pPr>
        <w:pStyle w:val="Body A"/>
      </w:pPr>
      <w:r>
        <w:rPr>
          <w:rtl w:val="0"/>
          <w:lang w:val="en-US"/>
        </w:rPr>
        <w:t>Internal Assessment :25 Marks</w:t>
      </w:r>
    </w:p>
    <w:p>
      <w:pPr>
        <w:pStyle w:val="Body A"/>
      </w:pPr>
      <w:r>
        <w:rPr>
          <w:rtl w:val="0"/>
          <w:lang w:val="en-US"/>
        </w:rPr>
        <w:t>Students will be assessed on the basis of regular group presentations and a detailed (individual) project submission-cum-presentation. The project should be a professionally written and referenced one, as well as creatively put together. The project has to be based on active field and library work and should reflect an analysis of primary source material and an engagement with secondary material.</w:t>
      </w:r>
    </w:p>
    <w:p>
      <w:pPr>
        <w:pStyle w:val="Body A"/>
      </w:pPr>
    </w:p>
    <w:p>
      <w:pPr>
        <w:pStyle w:val="Body A"/>
        <w:rPr>
          <w:lang w:val="fr-FR"/>
        </w:rPr>
      </w:pPr>
      <w:r>
        <w:rPr>
          <w:rtl w:val="0"/>
          <w:lang w:val="fr-FR"/>
        </w:rPr>
        <w:t xml:space="preserve">ESSENTIAL READINGS : </w:t>
      </w:r>
    </w:p>
    <w:p>
      <w:pPr>
        <w:pStyle w:val="Body A"/>
      </w:pPr>
      <w:r>
        <w:rPr>
          <w:rtl w:val="0"/>
          <w:lang w:val="de-DE"/>
        </w:rPr>
        <w:t>Mitter, Partha. (2011).Indian Art, Delhi: Oxford University Press</w:t>
      </w:r>
      <w:r>
        <w:rPr>
          <w:rtl w:val="0"/>
          <w:lang w:val="en-US"/>
        </w:rPr>
        <w:t>.</w:t>
      </w:r>
    </w:p>
    <w:p>
      <w:pPr>
        <w:pStyle w:val="Body A"/>
      </w:pPr>
      <w:r>
        <w:rPr>
          <w:rtl w:val="0"/>
          <w:lang w:val="en-US"/>
        </w:rPr>
        <w:t xml:space="preserve"> Dhar, P. P. (2011). ed. Indian Art History Changing Perspective, New Delhi: DK. (Introduction)</w:t>
      </w:r>
    </w:p>
    <w:p>
      <w:pPr>
        <w:pStyle w:val="Body A"/>
      </w:pPr>
      <w:r>
        <w:rPr>
          <w:rtl w:val="0"/>
          <w:lang w:val="en-US"/>
        </w:rPr>
        <w:t xml:space="preserve"> Mitter, Partha. (1977).Much Maligned Monsters: A History of European Reactions to Indian Art, New Delhi: Oxford University Press</w:t>
      </w:r>
    </w:p>
    <w:p>
      <w:pPr>
        <w:pStyle w:val="Body A"/>
      </w:pPr>
      <w:r>
        <w:rPr>
          <w:rtl w:val="0"/>
          <w:lang w:val="en-US"/>
        </w:rPr>
        <w:t>Huntington, Susan. (1985).The Art of Ancient India: Buddhist, Hindu, Jain, New York and Tokyo: John Weather Hill Inc.</w:t>
      </w:r>
    </w:p>
    <w:p>
      <w:pPr>
        <w:pStyle w:val="Body A"/>
      </w:pPr>
      <w:r>
        <w:rPr>
          <w:rtl w:val="0"/>
          <w:lang w:val="en-US"/>
        </w:rPr>
        <w:t>Gupta S. P. (2006).Elements of Indian Art, Delhi: D.K. Print world</w:t>
      </w:r>
    </w:p>
    <w:p>
      <w:pPr>
        <w:pStyle w:val="Body A"/>
        <w:rPr>
          <w:lang w:val="pt-PT"/>
        </w:rPr>
      </w:pPr>
      <w:r>
        <w:rPr>
          <w:rtl w:val="0"/>
          <w:lang w:val="pt-PT"/>
        </w:rPr>
        <w:t>Sivaramamurti C. (1962).Indian Bronzes, Bombay: Marg Publications</w:t>
      </w:r>
    </w:p>
    <w:p>
      <w:pPr>
        <w:pStyle w:val="Body A"/>
      </w:pPr>
      <w:r>
        <w:rPr>
          <w:rtl w:val="0"/>
          <w:lang w:val="en-US"/>
        </w:rPr>
        <w:t>Michell, George. (1977).The Hindu Temple: An Introduction to its Meaning and Forms, New Delhi, BI Publications</w:t>
      </w:r>
    </w:p>
    <w:p>
      <w:pPr>
        <w:pStyle w:val="Body A"/>
      </w:pPr>
      <w:r>
        <w:rPr>
          <w:rtl w:val="0"/>
          <w:lang w:val="en-US"/>
        </w:rPr>
        <w:t xml:space="preserve">Dahejia, Vidya. (1992). </w:t>
      </w:r>
      <w:r>
        <w:rPr>
          <w:rFonts w:ascii="Arial Unicode MS" w:hAnsi="Arial Unicode MS" w:hint="default"/>
          <w:rtl w:val="0"/>
          <w:lang w:val="en-US"/>
        </w:rPr>
        <w:t>‘</w:t>
      </w:r>
      <w:r>
        <w:rPr>
          <w:rtl w:val="0"/>
          <w:lang w:val="en-US"/>
        </w:rPr>
        <w:t xml:space="preserve">Collective and Popular Bases of Early Buddhist Patronage: Sacred Monuments, 100 BC-AD 250, in Barbara Stoler Miller ed., The Powers of Art: Patronage in </w:t>
      </w:r>
      <w:r>
        <w:rPr>
          <w:rtl w:val="0"/>
          <w:lang w:val="it-IT"/>
        </w:rPr>
        <w:t>Indian Culture, New Delhi: OUP</w:t>
      </w:r>
    </w:p>
    <w:p>
      <w:pPr>
        <w:pStyle w:val="Body A"/>
      </w:pPr>
      <w:r>
        <w:rPr>
          <w:rtl w:val="0"/>
          <w:lang w:val="it-IT"/>
        </w:rPr>
        <w:t>Thapar, Romila. (1992).</w:t>
      </w:r>
      <w:r>
        <w:rPr>
          <w:rFonts w:ascii="Arial Unicode MS" w:hAnsi="Arial Unicode MS" w:hint="default"/>
          <w:rtl w:val="1"/>
          <w:lang w:val="ar-SA" w:bidi="ar-SA"/>
        </w:rPr>
        <w:t>“</w:t>
      </w:r>
      <w:r>
        <w:rPr>
          <w:rtl w:val="0"/>
          <w:lang w:val="en-US"/>
        </w:rPr>
        <w:t>Patronage and Community</w:t>
      </w:r>
      <w:r>
        <w:rPr>
          <w:rtl w:val="0"/>
          <w:lang w:val="en-US"/>
        </w:rPr>
        <w:t>”</w:t>
      </w:r>
      <w:r>
        <w:rPr>
          <w:rtl w:val="0"/>
          <w:lang w:val="en-US"/>
        </w:rPr>
        <w:t>, in Barbara Stoler Miller ed., The Powers of Art: Patronage in Indian Culture, New Delhi: Oxford University Press</w:t>
      </w:r>
    </w:p>
    <w:p>
      <w:pPr>
        <w:pStyle w:val="Body A"/>
      </w:pPr>
      <w:r>
        <w:rPr>
          <w:rtl w:val="0"/>
          <w:lang w:val="it-IT"/>
        </w:rPr>
        <w:t xml:space="preserve">Trainor, Kevin. (1996), </w:t>
      </w:r>
      <w:r>
        <w:rPr>
          <w:rFonts w:ascii="Arial Unicode MS" w:hAnsi="Arial Unicode MS" w:hint="default"/>
          <w:rtl w:val="0"/>
          <w:lang w:val="en-US"/>
        </w:rPr>
        <w:t>‘</w:t>
      </w:r>
      <w:r>
        <w:rPr>
          <w:rtl w:val="0"/>
          <w:lang w:val="en-US"/>
        </w:rPr>
        <w:t>Constructing a Buddhist Ritual Site: Stupa and Monastery Architecture</w:t>
      </w:r>
      <w:r>
        <w:rPr>
          <w:rFonts w:ascii="Arial Unicode MS" w:hAnsi="Arial Unicode MS" w:hint="default"/>
          <w:rtl w:val="0"/>
          <w:lang w:val="en-US"/>
        </w:rPr>
        <w:t>’</w:t>
      </w:r>
      <w:r>
        <w:rPr>
          <w:rtl w:val="0"/>
          <w:lang w:val="en-US"/>
        </w:rPr>
        <w:t>, in Vidya Dehejia, ed., Unseen Presence: The Buddha and Sanchi,Bombay: Marg Publications</w:t>
      </w:r>
    </w:p>
    <w:p>
      <w:pPr>
        <w:pStyle w:val="Body A"/>
      </w:pPr>
      <w:r>
        <w:rPr>
          <w:rtl w:val="0"/>
          <w:lang w:val="it-IT"/>
        </w:rPr>
        <w:t xml:space="preserve"> Willis, Janice D. (1992). </w:t>
      </w:r>
      <w:r>
        <w:rPr>
          <w:rFonts w:ascii="Arial Unicode MS" w:hAnsi="Arial Unicode MS" w:hint="default"/>
          <w:rtl w:val="0"/>
          <w:lang w:val="en-US"/>
        </w:rPr>
        <w:t>‘</w:t>
      </w:r>
      <w:r>
        <w:rPr>
          <w:rtl w:val="0"/>
          <w:lang w:val="de-DE"/>
        </w:rPr>
        <w:t>Female Patronage in Indian Buddhism</w:t>
      </w:r>
      <w:r>
        <w:rPr>
          <w:rFonts w:ascii="Arial Unicode MS" w:hAnsi="Arial Unicode MS" w:hint="default"/>
          <w:rtl w:val="0"/>
          <w:lang w:val="en-US"/>
        </w:rPr>
        <w:t>’</w:t>
      </w:r>
      <w:r>
        <w:rPr>
          <w:rtl w:val="0"/>
          <w:lang w:val="de-DE"/>
        </w:rPr>
        <w:t>, in Barbara Stoler Miller</w:t>
      </w:r>
      <w:r>
        <w:rPr>
          <w:rtl w:val="0"/>
          <w:lang w:val="en-US"/>
        </w:rPr>
        <w:t xml:space="preserve"> (Ed.).The Powers of Art: Patronage in Indian Culture, New Delhi: Oxford University Press</w:t>
      </w:r>
    </w:p>
    <w:p>
      <w:pPr>
        <w:pStyle w:val="Body A"/>
      </w:pPr>
      <w:r>
        <w:rPr>
          <w:rtl w:val="0"/>
          <w:lang w:val="en-US"/>
        </w:rPr>
        <w:t xml:space="preserve">Champakalakshmi, R. (2011). </w:t>
      </w:r>
      <w:r>
        <w:rPr>
          <w:rFonts w:ascii="Arial Unicode MS" w:hAnsi="Arial Unicode MS" w:hint="default"/>
          <w:rtl w:val="0"/>
          <w:lang w:val="en-US"/>
        </w:rPr>
        <w:t>‘</w:t>
      </w:r>
      <w:r>
        <w:rPr>
          <w:rtl w:val="0"/>
          <w:lang w:val="en-US"/>
        </w:rPr>
        <w:t>Iconographic Programme and Political Imagery in Early Medieval Tamilakam: The Rajasimhesvara and Rajarajeshvara</w:t>
      </w:r>
      <w:r>
        <w:rPr>
          <w:rFonts w:ascii="Arial Unicode MS" w:hAnsi="Arial Unicode MS" w:hint="default"/>
          <w:rtl w:val="0"/>
          <w:lang w:val="en-US"/>
        </w:rPr>
        <w:t>’</w:t>
      </w:r>
      <w:r>
        <w:rPr>
          <w:rtl w:val="0"/>
          <w:lang w:val="en-US"/>
        </w:rPr>
        <w:t>, in R.Champakalakshmi, Religion, Tradition, and Ideology: Pre Colonial South India, New Delhi: Oxford University Press</w:t>
      </w:r>
    </w:p>
    <w:p>
      <w:pPr>
        <w:pStyle w:val="Body A"/>
      </w:pPr>
      <w:r>
        <w:rPr>
          <w:rtl w:val="0"/>
          <w:lang w:val="it-IT"/>
        </w:rPr>
        <w:t xml:space="preserve">Desai, Devangana. (1992). </w:t>
      </w:r>
      <w:r>
        <w:rPr>
          <w:rFonts w:ascii="Arial Unicode MS" w:hAnsi="Arial Unicode MS" w:hint="default"/>
          <w:rtl w:val="0"/>
          <w:lang w:val="en-US"/>
        </w:rPr>
        <w:t>‘</w:t>
      </w:r>
      <w:r>
        <w:rPr>
          <w:rtl w:val="0"/>
          <w:lang w:val="en-US"/>
        </w:rPr>
        <w:t>The Patronage of Lakshamana Temple at Khajuraho</w:t>
      </w:r>
      <w:r>
        <w:rPr>
          <w:rFonts w:ascii="Arial Unicode MS" w:hAnsi="Arial Unicode MS" w:hint="default"/>
          <w:rtl w:val="0"/>
          <w:lang w:val="en-US"/>
        </w:rPr>
        <w:t>’</w:t>
      </w:r>
      <w:r>
        <w:rPr>
          <w:rtl w:val="0"/>
          <w:lang w:val="de-DE"/>
        </w:rPr>
        <w:t>, in Barbara</w:t>
      </w:r>
      <w:r>
        <w:rPr>
          <w:rtl w:val="0"/>
          <w:lang w:val="en-US"/>
        </w:rPr>
        <w:t xml:space="preserve"> Stoler Miller ed., The Powers of Art: Patronage in Indian Culture, New Delhi: Oxford University Press</w:t>
      </w:r>
    </w:p>
    <w:p>
      <w:pPr>
        <w:pStyle w:val="Body A"/>
      </w:pPr>
      <w:r>
        <w:rPr>
          <w:rtl w:val="0"/>
          <w:lang w:val="pt-PT"/>
        </w:rPr>
        <w:t xml:space="preserve">Desai, Devangana. (2013). </w:t>
      </w:r>
      <w:r>
        <w:rPr>
          <w:rFonts w:ascii="Arial Unicode MS" w:hAnsi="Arial Unicode MS" w:hint="default"/>
          <w:rtl w:val="0"/>
          <w:lang w:val="en-US"/>
        </w:rPr>
        <w:t>‘</w:t>
      </w:r>
      <w:r>
        <w:rPr>
          <w:rtl w:val="0"/>
          <w:lang w:val="en-US"/>
        </w:rPr>
        <w:t xml:space="preserve">The Temple as an Ordered Whole </w:t>
      </w:r>
      <w:r>
        <w:rPr>
          <w:rtl w:val="0"/>
          <w:lang w:val="en-US"/>
        </w:rPr>
        <w:t xml:space="preserve">– </w:t>
      </w:r>
      <w:r>
        <w:rPr>
          <w:rtl w:val="0"/>
          <w:lang w:val="en-US"/>
        </w:rPr>
        <w:t>The Iconic Scheme at Khajuraho</w:t>
      </w:r>
      <w:r>
        <w:rPr>
          <w:rFonts w:ascii="Arial Unicode MS" w:hAnsi="Arial Unicode MS" w:hint="default"/>
          <w:rtl w:val="0"/>
          <w:lang w:val="en-US"/>
        </w:rPr>
        <w:t>’</w:t>
      </w:r>
      <w:r>
        <w:rPr>
          <w:rtl w:val="0"/>
          <w:lang w:val="en-US"/>
        </w:rPr>
        <w:t xml:space="preserve">, in Devangana Desai, ed., Art and Icon </w:t>
      </w:r>
      <w:r>
        <w:rPr>
          <w:rtl w:val="0"/>
          <w:lang w:val="en-US"/>
        </w:rPr>
        <w:t>–</w:t>
      </w:r>
      <w:r>
        <w:rPr>
          <w:rtl w:val="0"/>
          <w:lang w:val="en-US"/>
        </w:rPr>
        <w:t>Essays on Early Indian Art</w:t>
      </w:r>
      <w:r>
        <w:rPr>
          <w:rFonts w:ascii="Arial Unicode MS" w:hAnsi="Arial Unicode MS" w:hint="default"/>
          <w:rtl w:val="0"/>
          <w:lang w:val="en-US"/>
        </w:rPr>
        <w:t>’</w:t>
      </w:r>
      <w:r>
        <w:rPr>
          <w:rtl w:val="0"/>
          <w:lang w:val="en-US"/>
        </w:rPr>
        <w:t>, New Delhi:Aryan Books International</w:t>
      </w:r>
    </w:p>
    <w:p>
      <w:pPr>
        <w:pStyle w:val="Body A"/>
      </w:pPr>
      <w:r>
        <w:rPr>
          <w:rtl w:val="0"/>
          <w:lang w:val="en-US"/>
        </w:rPr>
        <w:t>Asher, Catherine B. (1992).The New Cambridge History of India: Architecture of Mughal India, 1.4, Cambridge: Cambridge University Press</w:t>
      </w:r>
    </w:p>
    <w:p>
      <w:pPr>
        <w:pStyle w:val="Body A"/>
      </w:pPr>
      <w:r>
        <w:rPr>
          <w:rtl w:val="0"/>
          <w:lang w:val="en-US"/>
        </w:rPr>
        <w:t xml:space="preserve">Dehlvi, Sadia. (2012).The Sufi Courtyard </w:t>
      </w:r>
      <w:r>
        <w:rPr>
          <w:rtl w:val="0"/>
          <w:lang w:val="en-US"/>
        </w:rPr>
        <w:t>–</w:t>
      </w:r>
      <w:r>
        <w:rPr>
          <w:rtl w:val="0"/>
          <w:lang w:val="en-US"/>
        </w:rPr>
        <w:t>Dargahs of Delhi, New Delhi: Harper Collins</w:t>
      </w:r>
    </w:p>
    <w:p>
      <w:pPr>
        <w:pStyle w:val="Body A"/>
      </w:pPr>
      <w:r>
        <w:rPr>
          <w:rtl w:val="0"/>
          <w:lang w:val="en-US"/>
        </w:rPr>
        <w:t xml:space="preserve">Metcalf, Thomas R. (1986). </w:t>
      </w:r>
      <w:r>
        <w:rPr>
          <w:rFonts w:ascii="Arial Unicode MS" w:hAnsi="Arial Unicode MS" w:hint="default"/>
          <w:rtl w:val="0"/>
          <w:lang w:val="en-US"/>
        </w:rPr>
        <w:t>‘</w:t>
      </w:r>
      <w:r>
        <w:rPr>
          <w:rtl w:val="0"/>
          <w:lang w:val="en-US"/>
        </w:rPr>
        <w:t xml:space="preserve">Architecture and Empire </w:t>
      </w:r>
      <w:r>
        <w:rPr>
          <w:rtl w:val="0"/>
          <w:lang w:val="en-US"/>
        </w:rPr>
        <w:t>–</w:t>
      </w:r>
      <w:r>
        <w:rPr>
          <w:rtl w:val="0"/>
          <w:lang w:val="en-US"/>
        </w:rPr>
        <w:t xml:space="preserve">Sir Herbert Baker and the Building of </w:t>
      </w:r>
      <w:r>
        <w:rPr>
          <w:rtl w:val="0"/>
          <w:lang w:val="nl-NL"/>
        </w:rPr>
        <w:t>New Delhi</w:t>
      </w:r>
      <w:r>
        <w:rPr>
          <w:rFonts w:ascii="Arial Unicode MS" w:hAnsi="Arial Unicode MS" w:hint="default"/>
          <w:rtl w:val="0"/>
          <w:lang w:val="en-US"/>
        </w:rPr>
        <w:t xml:space="preserve">’ </w:t>
      </w:r>
      <w:r>
        <w:rPr>
          <w:rtl w:val="0"/>
          <w:lang w:val="en-US"/>
        </w:rPr>
        <w:t>in R. E. Frykenberg, ed., Delhi Through the Ages: Essays in Urban History, Culture and Society, Delhi: OUP</w:t>
      </w:r>
    </w:p>
    <w:p>
      <w:pPr>
        <w:pStyle w:val="Body A"/>
      </w:pPr>
      <w:r>
        <w:rPr>
          <w:rtl w:val="0"/>
          <w:lang w:val="en-US"/>
        </w:rPr>
        <w:t xml:space="preserve">Sharma, Y. D. (2001).Delhi and its Neighbourhood, New Delhi: ASI (also in Hindi: Dilli Aur </w:t>
      </w:r>
      <w:r>
        <w:rPr>
          <w:rtl w:val="0"/>
          <w:lang w:val="nl-NL"/>
        </w:rPr>
        <w:t>UskaAanchal, Delhi</w:t>
      </w:r>
      <w:r>
        <w:rPr>
          <w:rtl w:val="0"/>
          <w:lang w:val="en-US"/>
        </w:rPr>
        <w:t>, ASI</w:t>
      </w:r>
    </w:p>
    <w:p>
      <w:pPr>
        <w:pStyle w:val="Body A"/>
      </w:pPr>
      <w:r>
        <w:rPr>
          <w:rtl w:val="0"/>
          <w:lang w:val="en-US"/>
        </w:rPr>
        <w:t>Huntington, Susan. (1985).The Art of Ancient India: Buddhist, Hindu, Jain, New York and Tokyo: John Weather Hill Inc.</w:t>
      </w:r>
    </w:p>
    <w:p>
      <w:pPr>
        <w:pStyle w:val="Body A"/>
      </w:pPr>
      <w:r>
        <w:rPr>
          <w:rtl w:val="0"/>
          <w:lang w:val="en-US"/>
        </w:rPr>
        <w:t>Gupta S. P. (2006).Elements of Indian Art, Delhi: D.K. Print world</w:t>
      </w:r>
    </w:p>
    <w:p>
      <w:pPr>
        <w:pStyle w:val="Body A"/>
      </w:pPr>
      <w:r>
        <w:rPr>
          <w:rtl w:val="0"/>
          <w:lang w:val="en-US"/>
        </w:rPr>
        <w:t>Verma, S. P. (2005), Painting the Mughal Experience, Delhi: Oxford University Press</w:t>
      </w:r>
    </w:p>
    <w:p>
      <w:pPr>
        <w:pStyle w:val="Body A"/>
      </w:pPr>
      <w:r>
        <w:rPr>
          <w:rtl w:val="0"/>
          <w:lang w:val="en-US"/>
        </w:rPr>
        <w:t>Chaitanya, Krishna. (2002).A History of Indian Painting: Pahari Traditions, Delhi: Abhinav Publications</w:t>
      </w:r>
    </w:p>
    <w:p>
      <w:pPr>
        <w:pStyle w:val="Body A"/>
      </w:pPr>
      <w:r>
        <w:rPr>
          <w:rtl w:val="0"/>
          <w:lang w:val="it-IT"/>
        </w:rPr>
        <w:t xml:space="preserve">Jain, Jyotindra. (1994). </w:t>
      </w:r>
      <w:r>
        <w:rPr>
          <w:rFonts w:ascii="Arial Unicode MS" w:hAnsi="Arial Unicode MS" w:hint="default"/>
          <w:rtl w:val="0"/>
          <w:lang w:val="en-US"/>
        </w:rPr>
        <w:t>‘</w:t>
      </w:r>
      <w:r>
        <w:rPr>
          <w:rtl w:val="0"/>
          <w:lang w:val="en-US"/>
        </w:rPr>
        <w:t>Gangadevi: Tradition and Expression in Mithila (Madhubani) Painting</w:t>
      </w:r>
      <w:r>
        <w:rPr>
          <w:rFonts w:ascii="Arial Unicode MS" w:hAnsi="Arial Unicode MS" w:hint="default"/>
          <w:rtl w:val="0"/>
          <w:lang w:val="en-US"/>
        </w:rPr>
        <w:t>’</w:t>
      </w:r>
      <w:r>
        <w:rPr>
          <w:rtl w:val="0"/>
          <w:lang w:val="en-US"/>
        </w:rPr>
        <w:t>, in Catherine B. Asher and Thomas R. Metcalf eds., Perception of South Asia</w:t>
      </w:r>
      <w:r>
        <w:rPr>
          <w:rFonts w:ascii="Arial Unicode MS" w:hAnsi="Arial Unicode MS" w:hint="default"/>
          <w:rtl w:val="0"/>
          <w:lang w:val="en-US"/>
        </w:rPr>
        <w:t>’</w:t>
      </w:r>
      <w:r>
        <w:rPr>
          <w:rtl w:val="0"/>
          <w:lang w:val="it-IT"/>
        </w:rPr>
        <w:t>s Visual</w:t>
      </w:r>
      <w:r>
        <w:rPr>
          <w:rtl w:val="0"/>
          <w:lang w:val="en-US"/>
        </w:rPr>
        <w:t xml:space="preserve"> Past, New Delhi:AIIS, Oxford University Press</w:t>
      </w:r>
    </w:p>
    <w:p>
      <w:pPr>
        <w:pStyle w:val="Body A"/>
      </w:pPr>
    </w:p>
    <w:p>
      <w:pPr>
        <w:pStyle w:val="Body A"/>
        <w:rPr>
          <w:lang w:val="de-DE"/>
        </w:rPr>
      </w:pPr>
      <w:r>
        <w:rPr>
          <w:rtl w:val="0"/>
          <w:lang w:val="de-DE"/>
        </w:rPr>
        <w:t>SUGGESTED READINGS:</w:t>
      </w:r>
    </w:p>
    <w:p>
      <w:pPr>
        <w:pStyle w:val="Body A"/>
      </w:pPr>
      <w:r>
        <w:rPr>
          <w:rtl w:val="0"/>
          <w:lang w:val="en-US"/>
        </w:rPr>
        <w:t xml:space="preserve">Dhar, Parul Pandya. (2011). </w:t>
      </w:r>
      <w:r>
        <w:rPr>
          <w:rFonts w:ascii="Arial Unicode MS" w:hAnsi="Arial Unicode MS" w:hint="default"/>
          <w:rtl w:val="1"/>
          <w:lang w:val="ar-SA" w:bidi="ar-SA"/>
        </w:rPr>
        <w:t>“</w:t>
      </w:r>
      <w:r>
        <w:rPr>
          <w:rtl w:val="0"/>
          <w:lang w:val="fr-FR"/>
        </w:rPr>
        <w:t xml:space="preserve">Introduction </w:t>
      </w:r>
      <w:r>
        <w:rPr>
          <w:rtl w:val="0"/>
          <w:lang w:val="en-US"/>
        </w:rPr>
        <w:t xml:space="preserve">– </w:t>
      </w:r>
      <w:r>
        <w:rPr>
          <w:rtl w:val="0"/>
          <w:lang w:val="en-US"/>
        </w:rPr>
        <w:t>A History of Art History: The Indian Context</w:t>
      </w:r>
      <w:r>
        <w:rPr>
          <w:rtl w:val="0"/>
          <w:lang w:val="en-US"/>
        </w:rPr>
        <w:t>”</w:t>
      </w:r>
      <w:r>
        <w:rPr>
          <w:rtl w:val="0"/>
          <w:lang w:val="en-US"/>
        </w:rPr>
        <w:t xml:space="preserve">,in Parul Pandya Dhar,(Ed.).Indian Art History: Changing Perspectives, New Delhi: D. K </w:t>
      </w:r>
      <w:r>
        <w:rPr>
          <w:rtl w:val="0"/>
          <w:lang w:val="de-DE"/>
        </w:rPr>
        <w:t>Printworld and National Museum Institute</w:t>
      </w:r>
      <w:r>
        <w:rPr>
          <w:rtl w:val="0"/>
          <w:lang w:val="en-US"/>
        </w:rPr>
        <w:t xml:space="preserve"> </w:t>
      </w:r>
    </w:p>
    <w:p>
      <w:pPr>
        <w:pStyle w:val="Body A"/>
      </w:pPr>
      <w:r>
        <w:rPr>
          <w:rtl w:val="0"/>
          <w:lang w:val="en-US"/>
        </w:rPr>
        <w:t xml:space="preserve">Thakurta, Tapati Guha. (1994). </w:t>
      </w:r>
      <w:r>
        <w:rPr>
          <w:rFonts w:ascii="Arial Unicode MS" w:hAnsi="Arial Unicode MS" w:hint="default"/>
          <w:rtl w:val="1"/>
          <w:lang w:val="ar-SA" w:bidi="ar-SA"/>
        </w:rPr>
        <w:t>“</w:t>
      </w:r>
      <w:r>
        <w:rPr>
          <w:rtl w:val="0"/>
          <w:lang w:val="en-US"/>
        </w:rPr>
        <w:t xml:space="preserve">Orientalism, Nationalism and the Reconstruction of </w:t>
      </w:r>
      <w:r>
        <w:rPr>
          <w:rFonts w:ascii="Arial Unicode MS" w:hAnsi="Arial Unicode MS" w:hint="default"/>
          <w:rtl w:val="0"/>
          <w:lang w:val="en-US"/>
        </w:rPr>
        <w:t>‘</w:t>
      </w:r>
      <w:r>
        <w:rPr>
          <w:rtl w:val="0"/>
          <w:lang w:val="it-IT"/>
        </w:rPr>
        <w:t>Indian</w:t>
      </w:r>
      <w:r>
        <w:rPr>
          <w:rFonts w:ascii="Arial Unicode MS" w:hAnsi="Arial Unicode MS" w:hint="default"/>
          <w:rtl w:val="0"/>
          <w:lang w:val="en-US"/>
        </w:rPr>
        <w:t>’</w:t>
      </w:r>
    </w:p>
    <w:p>
      <w:pPr>
        <w:pStyle w:val="Body A"/>
      </w:pPr>
      <w:r>
        <w:rPr>
          <w:rtl w:val="0"/>
          <w:lang w:val="it-IT"/>
        </w:rPr>
        <w:t>Art in Calcutta</w:t>
      </w:r>
      <w:r>
        <w:rPr>
          <w:rtl w:val="0"/>
          <w:lang w:val="en-US"/>
        </w:rPr>
        <w:t>”</w:t>
      </w:r>
      <w:r>
        <w:rPr>
          <w:rtl w:val="0"/>
          <w:lang w:val="en-US"/>
        </w:rPr>
        <w:t>, in Catherine B. Asher and Thomas R. Metcalf.(Eds.).Perception of South Asia</w:t>
      </w:r>
      <w:r>
        <w:rPr>
          <w:rFonts w:ascii="Arial Unicode MS" w:hAnsi="Arial Unicode MS" w:hint="default"/>
          <w:rtl w:val="0"/>
          <w:lang w:val="en-US"/>
        </w:rPr>
        <w:t>’</w:t>
      </w:r>
      <w:r>
        <w:rPr>
          <w:rtl w:val="0"/>
          <w:lang w:val="en-US"/>
        </w:rPr>
        <w:t>s Visual Past, New Delhi: AIIS, Oxford University Press, pp. 46-65.</w:t>
      </w:r>
    </w:p>
    <w:p>
      <w:pPr>
        <w:pStyle w:val="Body A"/>
      </w:pPr>
      <w:r>
        <w:rPr>
          <w:rtl w:val="0"/>
          <w:lang w:val="it-IT"/>
        </w:rPr>
        <w:t xml:space="preserve">Desai, Devangana. (1990). </w:t>
      </w:r>
      <w:r>
        <w:rPr>
          <w:rFonts w:ascii="Arial Unicode MS" w:hAnsi="Arial Unicode MS" w:hint="default"/>
          <w:rtl w:val="0"/>
          <w:lang w:val="en-US"/>
        </w:rPr>
        <w:t>‘</w:t>
      </w:r>
      <w:r>
        <w:rPr>
          <w:rtl w:val="0"/>
          <w:lang w:val="en-US"/>
        </w:rPr>
        <w:t>Social Dimensions of Art</w:t>
      </w:r>
      <w:r>
        <w:rPr>
          <w:rFonts w:ascii="Arial Unicode MS" w:hAnsi="Arial Unicode MS" w:hint="default"/>
          <w:rtl w:val="0"/>
          <w:lang w:val="en-US"/>
        </w:rPr>
        <w:t>’</w:t>
      </w:r>
      <w:r>
        <w:rPr>
          <w:rtl w:val="0"/>
          <w:lang w:val="it-IT"/>
        </w:rPr>
        <w:t>, Social Scientist, vol. 18,no. 202, pp.3-32.</w:t>
      </w:r>
    </w:p>
    <w:p>
      <w:pPr>
        <w:pStyle w:val="Body A"/>
      </w:pPr>
      <w:r>
        <w:rPr>
          <w:rtl w:val="0"/>
          <w:lang w:val="en-US"/>
        </w:rPr>
        <w:t>Ray, N.R. (1974).An Approach to Indian Art, Chandigarh: Publication Bureau</w:t>
      </w:r>
    </w:p>
    <w:p>
      <w:pPr>
        <w:pStyle w:val="Body A"/>
      </w:pPr>
      <w:r>
        <w:rPr>
          <w:rtl w:val="0"/>
          <w:lang w:val="en-US"/>
        </w:rPr>
        <w:t>Nehru,Lolita. (1989). Origins of the Gandhara style: A study of Contributory Influences, Delhi: Oxford University Press</w:t>
      </w:r>
    </w:p>
    <w:p>
      <w:pPr>
        <w:pStyle w:val="Body A"/>
      </w:pPr>
      <w:r>
        <w:rPr>
          <w:rtl w:val="0"/>
          <w:lang w:val="en-US"/>
        </w:rPr>
        <w:t xml:space="preserve">Dar, S. R. (1994). </w:t>
      </w:r>
      <w:r>
        <w:rPr>
          <w:rFonts w:ascii="Arial Unicode MS" w:hAnsi="Arial Unicode MS" w:hint="default"/>
          <w:rtl w:val="0"/>
          <w:lang w:val="en-US"/>
        </w:rPr>
        <w:t>‘</w:t>
      </w:r>
      <w:r>
        <w:rPr>
          <w:rtl w:val="0"/>
          <w:lang w:val="en-US"/>
        </w:rPr>
        <w:t>Classical Approaches to the Study of Gandhara Art</w:t>
      </w:r>
      <w:r>
        <w:rPr>
          <w:rFonts w:ascii="Arial Unicode MS" w:hAnsi="Arial Unicode MS" w:hint="default"/>
          <w:rtl w:val="0"/>
          <w:lang w:val="en-US"/>
        </w:rPr>
        <w:t>’</w:t>
      </w:r>
      <w:r>
        <w:rPr>
          <w:rtl w:val="0"/>
          <w:lang w:val="en-US"/>
        </w:rPr>
        <w:t>, in Catherine B.</w:t>
      </w:r>
    </w:p>
    <w:p>
      <w:pPr>
        <w:pStyle w:val="Body A"/>
      </w:pPr>
      <w:r>
        <w:rPr>
          <w:rtl w:val="0"/>
          <w:lang w:val="en-US"/>
        </w:rPr>
        <w:t>Asher and Thomas R. Metcalf eds., Perception of South Asia</w:t>
      </w:r>
      <w:r>
        <w:rPr>
          <w:rFonts w:ascii="Arial Unicode MS" w:hAnsi="Arial Unicode MS" w:hint="default"/>
          <w:rtl w:val="0"/>
          <w:lang w:val="en-US"/>
        </w:rPr>
        <w:t>’</w:t>
      </w:r>
      <w:r>
        <w:rPr>
          <w:rtl w:val="0"/>
          <w:lang w:val="en-US"/>
        </w:rPr>
        <w:t>s Visual Past, New Delhi: AIIS, Oxford University Press</w:t>
      </w:r>
    </w:p>
    <w:p>
      <w:pPr>
        <w:pStyle w:val="Body A"/>
      </w:pPr>
      <w:r>
        <w:rPr>
          <w:rtl w:val="0"/>
          <w:lang w:val="it-IT"/>
        </w:rPr>
        <w:t>Srinivasan Doris M. (1989).(Ed.).Mathura: The Cultural Heritage, New Delhi: American</w:t>
      </w:r>
      <w:r>
        <w:rPr>
          <w:rtl w:val="0"/>
          <w:lang w:val="en-US"/>
        </w:rPr>
        <w:t xml:space="preserve"> Institute of Indian studies and Manohar Publishers</w:t>
      </w:r>
    </w:p>
    <w:p>
      <w:pPr>
        <w:pStyle w:val="Body A"/>
        <w:rPr>
          <w:lang w:val="it-IT"/>
        </w:rPr>
      </w:pPr>
      <w:r>
        <w:rPr>
          <w:rtl w:val="0"/>
          <w:lang w:val="it-IT"/>
        </w:rPr>
        <w:t>Sivaramamurti, C. (1962).Indian Bronzes, Bombay:Marg Publications</w:t>
      </w:r>
    </w:p>
    <w:p>
      <w:pPr>
        <w:pStyle w:val="Body A"/>
      </w:pPr>
      <w:r>
        <w:rPr>
          <w:rtl w:val="0"/>
          <w:lang w:val="en-US"/>
        </w:rPr>
        <w:t>Poster, Amy G. (1986).From Indian Earth: 4000 Years of Terracotta Art, New York: the Brooklyn Museum</w:t>
      </w:r>
    </w:p>
    <w:p>
      <w:pPr>
        <w:pStyle w:val="Body A"/>
      </w:pPr>
      <w:r>
        <w:rPr>
          <w:rtl w:val="0"/>
          <w:lang w:val="en-US"/>
        </w:rPr>
        <w:t xml:space="preserve"> Misra, Neeru and TanayMisra (2003).The Garden Tomb of Humayun: An Abode in Paradise , Delhi: Aryan Books International</w:t>
      </w:r>
    </w:p>
    <w:p>
      <w:pPr>
        <w:pStyle w:val="Body A"/>
      </w:pPr>
      <w:r>
        <w:rPr>
          <w:rtl w:val="0"/>
          <w:lang w:val="en-US"/>
        </w:rPr>
        <w:t xml:space="preserve"> Metcalf, T. R. (1989). </w:t>
      </w:r>
      <w:r>
        <w:rPr>
          <w:rFonts w:ascii="Arial Unicode MS" w:hAnsi="Arial Unicode MS" w:hint="default"/>
          <w:rtl w:val="0"/>
          <w:lang w:val="en-US"/>
        </w:rPr>
        <w:t>‘</w:t>
      </w:r>
      <w:r>
        <w:rPr>
          <w:rtl w:val="0"/>
          <w:lang w:val="en-US"/>
        </w:rPr>
        <w:t>New Delhi: The Beginning of the End</w:t>
      </w:r>
      <w:r>
        <w:rPr>
          <w:rFonts w:ascii="Arial Unicode MS" w:hAnsi="Arial Unicode MS" w:hint="default"/>
          <w:rtl w:val="0"/>
          <w:lang w:val="en-US"/>
        </w:rPr>
        <w:t>’</w:t>
      </w:r>
      <w:r>
        <w:rPr>
          <w:rtl w:val="0"/>
          <w:lang w:val="de-DE"/>
        </w:rPr>
        <w:t>, in T. R. Metcalf, An Imperial</w:t>
      </w:r>
      <w:r>
        <w:rPr>
          <w:rtl w:val="0"/>
          <w:lang w:val="en-US"/>
        </w:rPr>
        <w:t xml:space="preserve"> Vision, Indian Architecture and Britain</w:t>
      </w:r>
      <w:r>
        <w:rPr>
          <w:rFonts w:ascii="Arial Unicode MS" w:hAnsi="Arial Unicode MS" w:hint="default"/>
          <w:rtl w:val="0"/>
          <w:lang w:val="en-US"/>
        </w:rPr>
        <w:t>’</w:t>
      </w:r>
      <w:r>
        <w:rPr>
          <w:rtl w:val="0"/>
          <w:lang w:val="en-US"/>
        </w:rPr>
        <w:t>s Raj, Delhi: OUP. pp 211-39.</w:t>
      </w:r>
    </w:p>
    <w:p>
      <w:pPr>
        <w:pStyle w:val="Body A"/>
      </w:pPr>
      <w:r>
        <w:rPr>
          <w:rtl w:val="0"/>
          <w:lang w:val="en-US"/>
        </w:rPr>
        <w:t>M.K. Dhavalikar, M. K. (1994).Ajanta: The Perception of the Past in Catherine B. Asher and Thomas R. Metcalf eds., Perception of South Asia</w:t>
      </w:r>
      <w:r>
        <w:rPr>
          <w:rFonts w:ascii="Arial Unicode MS" w:hAnsi="Arial Unicode MS" w:hint="default"/>
          <w:rtl w:val="0"/>
          <w:lang w:val="en-US"/>
        </w:rPr>
        <w:t>’</w:t>
      </w:r>
      <w:r>
        <w:rPr>
          <w:rtl w:val="0"/>
          <w:lang w:val="en-US"/>
        </w:rPr>
        <w:t>s Visual Past, New Delhi: AIIS, OUP</w:t>
      </w:r>
    </w:p>
    <w:p>
      <w:pPr>
        <w:pStyle w:val="Body A"/>
      </w:pPr>
      <w:r>
        <w:rPr>
          <w:rtl w:val="0"/>
          <w:lang w:val="nl-NL"/>
        </w:rPr>
        <w:t xml:space="preserve">Aitken, Molly Emma. (1997). </w:t>
      </w:r>
      <w:r>
        <w:rPr>
          <w:rFonts w:ascii="Arial Unicode MS" w:hAnsi="Arial Unicode MS" w:hint="default"/>
          <w:rtl w:val="0"/>
          <w:lang w:val="en-US"/>
        </w:rPr>
        <w:t>‘</w:t>
      </w:r>
      <w:r>
        <w:rPr>
          <w:rtl w:val="0"/>
          <w:lang w:val="en-US"/>
        </w:rPr>
        <w:t>Spectatorship and Femininity in Kangra Style Painting</w:t>
      </w:r>
      <w:r>
        <w:rPr>
          <w:rFonts w:ascii="Arial Unicode MS" w:hAnsi="Arial Unicode MS" w:hint="default"/>
          <w:rtl w:val="0"/>
          <w:lang w:val="en-US"/>
        </w:rPr>
        <w:t>’</w:t>
      </w:r>
      <w:r>
        <w:rPr>
          <w:rtl w:val="0"/>
          <w:lang w:val="en-US"/>
        </w:rPr>
        <w:t>, in Vidya Dehejia ed., Representing the Body: gender issues in Indian Art, New Delhi: Kali for Women in association with the Book Review Literary Trust</w:t>
      </w:r>
    </w:p>
    <w:p>
      <w:pPr>
        <w:pStyle w:val="Body A"/>
      </w:pPr>
      <w:r>
        <w:rPr>
          <w:rtl w:val="0"/>
          <w:lang w:val="en-US"/>
        </w:rPr>
        <w:t xml:space="preserve"> Mitter, Partha. (1999).Art and Nationalism in Colonial India 1850-1922: Occidental Orientations, Delhi: Cambridge University Press</w:t>
      </w:r>
    </w:p>
    <w:p>
      <w:pPr>
        <w:pStyle w:val="Body A"/>
      </w:pPr>
      <w:r>
        <w:rPr>
          <w:rtl w:val="0"/>
          <w:lang w:val="en-US"/>
        </w:rPr>
        <w:t>Gupta, Dr.Parmeshwari Lal. (2006).Bhartiya Vastukala, Varanasi: VishvidalayaPrakashan</w:t>
      </w:r>
    </w:p>
    <w:p>
      <w:pPr>
        <w:pStyle w:val="Body A"/>
      </w:pPr>
      <w:r>
        <w:rPr>
          <w:rtl w:val="0"/>
          <w:lang w:val="en-US"/>
        </w:rPr>
        <w:t>Singh, Arvind Kumar and Shivakant Dwivedi. (2005).Bhartiya Vastutatha Kala ke Mooltatva, Bhopal: M. P. Hindi Granth Academy</w:t>
      </w:r>
    </w:p>
    <w:p>
      <w:pPr>
        <w:pStyle w:val="Body A"/>
      </w:pPr>
    </w:p>
    <w:p>
      <w:pPr>
        <w:pStyle w:val="Body A"/>
      </w:pPr>
      <w:r>
        <w:rPr>
          <w:rtl w:val="0"/>
          <w:lang w:val="en-US"/>
        </w:rPr>
        <w:t>Agarwal, Dr. Vasudeva. (2008).PracheenBharatiya Stupa, Guha aivam Mandir, Patna: Bihar Granth Academy</w:t>
      </w:r>
    </w:p>
    <w:p>
      <w:pPr>
        <w:pStyle w:val="Body A"/>
      </w:pPr>
      <w:r>
        <w:rPr>
          <w:rtl w:val="0"/>
          <w:lang w:val="en-US"/>
        </w:rPr>
        <w:t xml:space="preserve">Srinivas, K. R. Dakshin Bharat ke </w:t>
      </w:r>
      <w:r>
        <w:rPr>
          <w:rtl w:val="0"/>
          <w:lang w:val="pt-PT"/>
        </w:rPr>
        <w:t>Mandir, Delhi: NBT</w:t>
      </w:r>
    </w:p>
    <w:p>
      <w:pPr>
        <w:pStyle w:val="Body A"/>
      </w:pPr>
      <w:r>
        <w:rPr>
          <w:rtl w:val="0"/>
          <w:lang w:val="en-US"/>
        </w:rPr>
        <w:t>Dev, Krishna. Uttar Bharat ke Mandir, Delhi: NBT</w:t>
      </w:r>
    </w:p>
    <w:p>
      <w:pPr>
        <w:pStyle w:val="Body A"/>
      </w:pPr>
      <w:r>
        <w:rPr>
          <w:rtl w:val="0"/>
          <w:lang w:val="en-US"/>
        </w:rPr>
        <w:t>Guide Books published by ASI on Ajanta , Sanchi.</w:t>
      </w:r>
    </w:p>
    <w:p>
      <w:pPr>
        <w:pStyle w:val="Body A"/>
      </w:pPr>
      <w:r>
        <w:rPr>
          <w:rtl w:val="0"/>
          <w:lang w:val="en-US"/>
        </w:rPr>
        <w:t>Shivramamurthy, C.BharatiyaChitrakala, Delhi: NBT.</w:t>
      </w:r>
    </w:p>
    <w:p>
      <w:pPr>
        <w:pStyle w:val="Body A"/>
      </w:pPr>
      <w:r>
        <w:rPr>
          <w:rtl w:val="0"/>
          <w:lang w:val="en-US"/>
        </w:rPr>
        <w:t>Tarak Nath Barediya, Tarak Nath. (2004), BharatiyaChitrakala Ka Itihas, Delhi: National Publishing House</w:t>
      </w:r>
    </w:p>
    <w:p>
      <w:pPr>
        <w:pStyle w:val="Body A"/>
      </w:pPr>
      <w:r>
        <w:rPr>
          <w:rtl w:val="0"/>
          <w:lang w:val="en-US"/>
        </w:rPr>
        <w:t xml:space="preserve"> Goswami, Premchand. (1999).Bharatiya Chitrakala ka Itihas, Jaipur: Panchsheel Prakashan</w:t>
      </w:r>
    </w:p>
    <w:p>
      <w:pPr>
        <w:pStyle w:val="Body A"/>
      </w:pPr>
      <w:r>
        <w:rPr>
          <w:rtl w:val="0"/>
          <w:lang w:val="en-US"/>
        </w:rPr>
        <w:t>Thakran, R. C., Shiv Kumar and Sanjay Kumar. (2013).(Eds.).Bharatiya UpmahadwipkiSanskritiya, Vol.I &amp;II, Delhi: Hindi MadhyamKaryanvayaNideshalaya</w:t>
      </w:r>
    </w:p>
    <w:p>
      <w:pPr>
        <w:pStyle w:val="Body A"/>
      </w:pPr>
      <w:r>
        <w:rPr>
          <w:rtl w:val="0"/>
          <w:lang w:val="en-US"/>
        </w:rPr>
        <w:t>Kashyap, Krishna Kumar and Shashbala. Mithila Lokchitra, Delhi: NBT</w:t>
      </w:r>
    </w:p>
    <w:sectPr>
      <w:headerReference w:type="default" r:id="rId4"/>
      <w:footerReference w:type="default" r:id="rId5"/>
      <w:pgSz w:w="11900" w:h="16840" w:orient="portrait"/>
      <w:pgMar w:top="1420" w:right="1980" w:bottom="1134" w:left="1980" w:header="709"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nela Deck Bold">
    <w:charset w:val="00"/>
    <w:family w:val="roman"/>
    <w:pitch w:val="default"/>
  </w:font>
  <w:font w:name="Canela Text Regular">
    <w:charset w:val="00"/>
    <w:family w:val="roman"/>
    <w:pitch w:val="default"/>
  </w:font>
  <w:font w:name="Canela Tex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me">
    <w:name w:val="Name"/>
    <w:next w:val="Body A"/>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center"/>
      <w:outlineLvl w:val="9"/>
    </w:pPr>
    <w:rPr>
      <w:rFonts w:ascii="Canela Deck Bold" w:cs="Arial Unicode MS" w:hAnsi="Canela Deck Bold"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center"/>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Addressee">
    <w:name w:val="Addressee"/>
    <w:next w:val="Addressee"/>
    <w:pPr>
      <w:keepNext w:val="0"/>
      <w:keepLines w:val="0"/>
      <w:pageBreakBefore w:val="0"/>
      <w:widowControl w:val="1"/>
      <w:shd w:val="clear" w:color="auto" w:fill="auto"/>
      <w:tabs>
        <w:tab w:val="left" w:pos="6400"/>
      </w:tabs>
      <w:suppressAutoHyphens w:val="0"/>
      <w:bidi w:val="0"/>
      <w:spacing w:before="0" w:after="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Letter">
  <a:themeElements>
    <a:clrScheme name="23_Classic_Letter">
      <a:dk1>
        <a:srgbClr val="000000"/>
      </a:dk1>
      <a:lt1>
        <a:srgbClr val="FFFFFF"/>
      </a:lt1>
      <a:dk2>
        <a:srgbClr val="A7A7A7"/>
      </a:dk2>
      <a:lt2>
        <a:srgbClr val="535353"/>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Helvetica Neue"/>
        <a:ea typeface="Helvetica Neue"/>
        <a:cs typeface="Helvetica Neue"/>
      </a:majorFont>
      <a:minorFont>
        <a:latin typeface="Helvetica Neue"/>
        <a:ea typeface="Helvetica Neue"/>
        <a:cs typeface="Helvetica Neue"/>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