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735"/>
        <w:gridCol w:w="2252"/>
        <w:gridCol w:w="2314"/>
      </w:tblGrid>
      <w:tr w:rsidR="00BB0596" w:rsidRPr="00CF3831" w:rsidTr="00BB0596"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Alka Devi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B</w:t>
            </w:r>
            <w:r w:rsidR="00864035" w:rsidRPr="00CF3831">
              <w:rPr>
                <w:rFonts w:ascii="Times New Roman" w:hAnsi="Times New Roman" w:cs="Times New Roman"/>
              </w:rPr>
              <w:t>.</w:t>
            </w:r>
            <w:r w:rsidRPr="00CF3831">
              <w:rPr>
                <w:rFonts w:ascii="Times New Roman" w:hAnsi="Times New Roman" w:cs="Times New Roman"/>
              </w:rPr>
              <w:t>Com</w:t>
            </w:r>
            <w:r w:rsidR="00DE4983">
              <w:rPr>
                <w:rFonts w:ascii="Times New Roman" w:hAnsi="Times New Roman" w:cs="Times New Roman"/>
              </w:rPr>
              <w:t>(H)</w:t>
            </w:r>
          </w:p>
        </w:tc>
      </w:tr>
      <w:tr w:rsidR="00BB0596" w:rsidRPr="00CF3831" w:rsidTr="00BB0596"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394" w:type="dxa"/>
          </w:tcPr>
          <w:p w:rsidR="00BB0596" w:rsidRPr="00CF3831" w:rsidRDefault="00EA5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  <w:bookmarkStart w:id="0" w:name="_GoBack"/>
            <w:bookmarkEnd w:id="0"/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2394" w:type="dxa"/>
          </w:tcPr>
          <w:p w:rsidR="00BB0596" w:rsidRPr="00CF3831" w:rsidRDefault="00DE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BB0596" w:rsidRPr="00CF3831" w:rsidTr="00BB0596"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2394" w:type="dxa"/>
          </w:tcPr>
          <w:p w:rsidR="00BB0596" w:rsidRPr="00CF3831" w:rsidRDefault="00864035" w:rsidP="00DE4983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BC</w:t>
            </w:r>
            <w:r w:rsidR="00DE4983">
              <w:rPr>
                <w:rFonts w:ascii="Times New Roman" w:hAnsi="Times New Roman" w:cs="Times New Roman"/>
              </w:rPr>
              <w:t>H</w:t>
            </w:r>
            <w:r w:rsidR="005B7A79" w:rsidRPr="00CF3831">
              <w:rPr>
                <w:rFonts w:ascii="Times New Roman" w:hAnsi="Times New Roman" w:cs="Times New Roman"/>
              </w:rPr>
              <w:t xml:space="preserve"> </w:t>
            </w:r>
            <w:r w:rsidR="00DE4983">
              <w:rPr>
                <w:rFonts w:ascii="Times New Roman" w:hAnsi="Times New Roman" w:cs="Times New Roman"/>
              </w:rPr>
              <w:t>5.4(b):Financial Markets, Institutions and Services</w:t>
            </w:r>
          </w:p>
        </w:tc>
        <w:tc>
          <w:tcPr>
            <w:tcW w:w="2394" w:type="dxa"/>
          </w:tcPr>
          <w:p w:rsidR="00BB0596" w:rsidRPr="00CF3831" w:rsidRDefault="00CE072C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Number o</w:t>
            </w:r>
            <w:r w:rsidR="00BB0596" w:rsidRPr="00CF3831">
              <w:rPr>
                <w:rFonts w:ascii="Times New Roman" w:hAnsi="Times New Roman" w:cs="Times New Roman"/>
              </w:rPr>
              <w:t>f lectures per week</w:t>
            </w:r>
          </w:p>
        </w:tc>
        <w:tc>
          <w:tcPr>
            <w:tcW w:w="2394" w:type="dxa"/>
          </w:tcPr>
          <w:p w:rsidR="00BB0596" w:rsidRPr="00CF3831" w:rsidRDefault="00EA5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0596" w:rsidRPr="00CF3831" w:rsidTr="00BB0596"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Pedagogy and Teaching Tools</w:t>
            </w:r>
          </w:p>
        </w:tc>
        <w:tc>
          <w:tcPr>
            <w:tcW w:w="2394" w:type="dxa"/>
          </w:tcPr>
          <w:p w:rsidR="00B93FD3" w:rsidRPr="00CF3831" w:rsidRDefault="00991ADF" w:rsidP="00B93FD3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1.Lecture </w:t>
            </w:r>
          </w:p>
          <w:p w:rsidR="00B93FD3" w:rsidRPr="00CF3831" w:rsidRDefault="00991ADF" w:rsidP="00B93FD3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2. Discussion</w:t>
            </w:r>
          </w:p>
          <w:p w:rsidR="00B93FD3" w:rsidRPr="00CF3831" w:rsidRDefault="00B93FD3" w:rsidP="00B93FD3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with the help of</w:t>
            </w:r>
          </w:p>
          <w:p w:rsidR="00BB0596" w:rsidRPr="00CF3831" w:rsidRDefault="00B93FD3" w:rsidP="00B93FD3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Cases and examples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Shared: Yes/No </w:t>
            </w:r>
          </w:p>
        </w:tc>
        <w:tc>
          <w:tcPr>
            <w:tcW w:w="2394" w:type="dxa"/>
          </w:tcPr>
          <w:p w:rsidR="00BB0596" w:rsidRPr="00CF3831" w:rsidRDefault="00C87EDE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Yes</w:t>
            </w:r>
          </w:p>
        </w:tc>
      </w:tr>
      <w:tr w:rsidR="00BB0596" w:rsidRPr="00CF3831" w:rsidTr="00BB0596"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 UNIT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TOPIC</w:t>
            </w:r>
          </w:p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(Theory/Practical)</w:t>
            </w:r>
          </w:p>
        </w:tc>
        <w:tc>
          <w:tcPr>
            <w:tcW w:w="2394" w:type="dxa"/>
          </w:tcPr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2394" w:type="dxa"/>
          </w:tcPr>
          <w:p w:rsidR="00BB0596" w:rsidRPr="00CF3831" w:rsidRDefault="00CE072C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Learning Outcome</w:t>
            </w:r>
          </w:p>
        </w:tc>
      </w:tr>
      <w:tr w:rsidR="00BB0596" w:rsidRPr="00CF3831" w:rsidTr="00BB0596">
        <w:tc>
          <w:tcPr>
            <w:tcW w:w="2394" w:type="dxa"/>
          </w:tcPr>
          <w:p w:rsidR="00BB0596" w:rsidRPr="00CF3831" w:rsidRDefault="00172309" w:rsidP="002D2A61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1</w:t>
            </w:r>
            <w:r w:rsidR="006C71C2">
              <w:rPr>
                <w:rFonts w:ascii="Times New Roman" w:hAnsi="Times New Roman" w:cs="Times New Roman"/>
              </w:rPr>
              <w:t xml:space="preserve">-Intriduction </w:t>
            </w:r>
          </w:p>
        </w:tc>
        <w:tc>
          <w:tcPr>
            <w:tcW w:w="2394" w:type="dxa"/>
          </w:tcPr>
          <w:p w:rsidR="00BB0596" w:rsidRPr="00CF3831" w:rsidRDefault="00DE4983" w:rsidP="003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introduction to Financial System, Components, financial System and Economic Development,</w:t>
            </w:r>
            <w:r w:rsidR="006C7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Financial Intermediation, An overview of Indian Financial System since 1951, Financial Sector Reforms since liberalization 1990-91</w:t>
            </w:r>
          </w:p>
        </w:tc>
        <w:tc>
          <w:tcPr>
            <w:tcW w:w="2394" w:type="dxa"/>
          </w:tcPr>
          <w:p w:rsidR="00BB0596" w:rsidRPr="00CF3831" w:rsidRDefault="006A0BA5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1-4 Week</w:t>
            </w:r>
          </w:p>
        </w:tc>
        <w:tc>
          <w:tcPr>
            <w:tcW w:w="2394" w:type="dxa"/>
          </w:tcPr>
          <w:p w:rsidR="00DE4983" w:rsidRPr="00CF3831" w:rsidRDefault="00A074D7" w:rsidP="00DE4983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*To hel</w:t>
            </w:r>
            <w:r w:rsidR="003D71E7" w:rsidRPr="00CF3831">
              <w:rPr>
                <w:rFonts w:ascii="Times New Roman" w:hAnsi="Times New Roman" w:cs="Times New Roman"/>
              </w:rPr>
              <w:t xml:space="preserve">p students to acquire detailed </w:t>
            </w:r>
            <w:r w:rsidRPr="00CF3831">
              <w:rPr>
                <w:rFonts w:ascii="Times New Roman" w:hAnsi="Times New Roman" w:cs="Times New Roman"/>
              </w:rPr>
              <w:t xml:space="preserve">knowledge </w:t>
            </w:r>
            <w:r w:rsidR="00B165A1">
              <w:rPr>
                <w:rFonts w:ascii="Times New Roman" w:hAnsi="Times New Roman" w:cs="Times New Roman"/>
              </w:rPr>
              <w:t>Financial system, Indian financial system, scenarios of Indian financial system pre and post liberalization</w:t>
            </w:r>
          </w:p>
          <w:p w:rsidR="00BB0596" w:rsidRPr="00CF3831" w:rsidRDefault="00BB0596">
            <w:pPr>
              <w:rPr>
                <w:rFonts w:ascii="Times New Roman" w:hAnsi="Times New Roman" w:cs="Times New Roman"/>
              </w:rPr>
            </w:pPr>
          </w:p>
        </w:tc>
      </w:tr>
      <w:tr w:rsidR="0023172F" w:rsidRPr="00CF3831" w:rsidTr="00BB0596">
        <w:tc>
          <w:tcPr>
            <w:tcW w:w="2394" w:type="dxa"/>
          </w:tcPr>
          <w:p w:rsidR="0023172F" w:rsidRPr="00CF3831" w:rsidRDefault="002D2A61" w:rsidP="002D2A61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II </w:t>
            </w:r>
            <w:r w:rsidR="006C71C2">
              <w:rPr>
                <w:rFonts w:ascii="Times New Roman" w:hAnsi="Times New Roman" w:cs="Times New Roman"/>
              </w:rPr>
              <w:t>–Financial Markets and Capital Market</w:t>
            </w:r>
          </w:p>
        </w:tc>
        <w:tc>
          <w:tcPr>
            <w:tcW w:w="2394" w:type="dxa"/>
          </w:tcPr>
          <w:p w:rsidR="002D2A61" w:rsidRPr="00CF3831" w:rsidRDefault="006C71C2" w:rsidP="002D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Financial Markets,  Money Market- functions, </w:t>
            </w:r>
            <w:r w:rsidR="005410F8">
              <w:rPr>
                <w:rFonts w:ascii="Times New Roman" w:hAnsi="Times New Roman" w:cs="Times New Roman"/>
              </w:rPr>
              <w:t>organizations</w:t>
            </w:r>
            <w:r>
              <w:rPr>
                <w:rFonts w:ascii="Times New Roman" w:hAnsi="Times New Roman" w:cs="Times New Roman"/>
              </w:rPr>
              <w:t xml:space="preserve"> and Instruments, Role of Central bank in money market, Indian Money Market-an overview, Capital Market- Introduction, role and functions, Components of Capital Market. Cash Markets-Equity and Debt,</w:t>
            </w:r>
            <w:r w:rsidR="005410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Depository</w:t>
            </w:r>
            <w:r w:rsidR="005410F8">
              <w:rPr>
                <w:rFonts w:ascii="Times New Roman" w:hAnsi="Times New Roman" w:cs="Times New Roman"/>
              </w:rPr>
              <w:t>(</w:t>
            </w:r>
            <w:proofErr w:type="gramEnd"/>
            <w:r w:rsidR="005410F8">
              <w:rPr>
                <w:rFonts w:ascii="Times New Roman" w:hAnsi="Times New Roman" w:cs="Times New Roman"/>
              </w:rPr>
              <w:t>NSDL, CDSL), Primary and Secondary Markets-NSE,BSE,NIFTY,SENSEX, Role of  Stock exchanges in India, SEBI and Investor Protection.</w:t>
            </w:r>
          </w:p>
          <w:p w:rsidR="0023172F" w:rsidRPr="00CF3831" w:rsidRDefault="00EC405B" w:rsidP="00EC405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:rsidR="0023172F" w:rsidRPr="00CF3831" w:rsidRDefault="006A0BA5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5-7Week</w:t>
            </w:r>
            <w:r w:rsidR="00BE2751" w:rsidRPr="00CF38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</w:tcPr>
          <w:p w:rsidR="00EC405B" w:rsidRPr="00CF3831" w:rsidRDefault="00EC405B" w:rsidP="00EC405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</w:t>
            </w:r>
            <w:r w:rsidR="002D2A61" w:rsidRPr="00CF3831">
              <w:rPr>
                <w:rFonts w:ascii="Times New Roman" w:hAnsi="Times New Roman" w:cs="Times New Roman"/>
              </w:rPr>
              <w:t xml:space="preserve">Understanding concept of </w:t>
            </w:r>
            <w:r w:rsidR="00A5192A">
              <w:rPr>
                <w:rFonts w:ascii="Times New Roman" w:hAnsi="Times New Roman" w:cs="Times New Roman"/>
              </w:rPr>
              <w:t>Financial Markets, its components, role and detailed knowledge of all instruments, stock exchanges  and its role in India</w:t>
            </w:r>
          </w:p>
          <w:p w:rsidR="0023172F" w:rsidRPr="00CF3831" w:rsidRDefault="0023172F" w:rsidP="002D2A61">
            <w:pPr>
              <w:rPr>
                <w:rFonts w:ascii="Times New Roman" w:hAnsi="Times New Roman" w:cs="Times New Roman"/>
              </w:rPr>
            </w:pPr>
          </w:p>
        </w:tc>
      </w:tr>
      <w:tr w:rsidR="005062DB" w:rsidRPr="00CF3831" w:rsidTr="002D2A61">
        <w:trPr>
          <w:trHeight w:val="350"/>
        </w:trPr>
        <w:tc>
          <w:tcPr>
            <w:tcW w:w="2394" w:type="dxa"/>
          </w:tcPr>
          <w:p w:rsidR="005062DB" w:rsidRPr="00CF3831" w:rsidRDefault="002D2A61" w:rsidP="002D2A61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III </w:t>
            </w:r>
            <w:r w:rsidR="002A410F">
              <w:rPr>
                <w:rFonts w:ascii="Times New Roman" w:hAnsi="Times New Roman" w:cs="Times New Roman"/>
              </w:rPr>
              <w:t>–Financial Institutions I</w:t>
            </w:r>
          </w:p>
        </w:tc>
        <w:tc>
          <w:tcPr>
            <w:tcW w:w="2394" w:type="dxa"/>
          </w:tcPr>
          <w:p w:rsidR="005062DB" w:rsidRPr="00CF3831" w:rsidRDefault="002A410F" w:rsidP="002A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Institutions, Commercial Banking- Introduction, Classification, its role in financial commercial and consumer, recent developments like MUDRA financing, problems of NPAs , Bankruptcy and insolvency Act , Financial Inclusion</w:t>
            </w:r>
          </w:p>
        </w:tc>
        <w:tc>
          <w:tcPr>
            <w:tcW w:w="2394" w:type="dxa"/>
          </w:tcPr>
          <w:p w:rsidR="005062DB" w:rsidRPr="00CF3831" w:rsidRDefault="006A0BA5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8-</w:t>
            </w:r>
            <w:r w:rsidR="00F907BC" w:rsidRPr="00CF3831">
              <w:rPr>
                <w:rFonts w:ascii="Times New Roman" w:hAnsi="Times New Roman" w:cs="Times New Roman"/>
              </w:rPr>
              <w:t>10 Week</w:t>
            </w:r>
          </w:p>
        </w:tc>
        <w:tc>
          <w:tcPr>
            <w:tcW w:w="2394" w:type="dxa"/>
          </w:tcPr>
          <w:p w:rsidR="005062DB" w:rsidRPr="00CF3831" w:rsidRDefault="002D2A61" w:rsidP="002A410F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</w:t>
            </w:r>
            <w:r w:rsidR="00C87EDE" w:rsidRPr="00CF3831">
              <w:rPr>
                <w:rFonts w:ascii="Times New Roman" w:hAnsi="Times New Roman" w:cs="Times New Roman"/>
              </w:rPr>
              <w:t xml:space="preserve">Understanding </w:t>
            </w:r>
            <w:r w:rsidR="00E6399F" w:rsidRPr="00CF3831">
              <w:rPr>
                <w:rFonts w:ascii="Times New Roman" w:hAnsi="Times New Roman" w:cs="Times New Roman"/>
              </w:rPr>
              <w:t xml:space="preserve">Concept of </w:t>
            </w:r>
            <w:r w:rsidR="00AD0B50">
              <w:rPr>
                <w:rFonts w:ascii="Times New Roman" w:hAnsi="Times New Roman" w:cs="Times New Roman"/>
              </w:rPr>
              <w:t xml:space="preserve">Commercial Banks, its classifications, role and major recent developments </w:t>
            </w:r>
          </w:p>
        </w:tc>
      </w:tr>
      <w:tr w:rsidR="00172309" w:rsidRPr="00CF3831" w:rsidTr="00BB0596">
        <w:tc>
          <w:tcPr>
            <w:tcW w:w="2394" w:type="dxa"/>
          </w:tcPr>
          <w:p w:rsidR="00172309" w:rsidRPr="00CF3831" w:rsidRDefault="008D347A" w:rsidP="002D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IV-</w:t>
            </w:r>
            <w:r w:rsidR="0031350F">
              <w:rPr>
                <w:rFonts w:ascii="Times New Roman" w:hAnsi="Times New Roman" w:cs="Times New Roman"/>
              </w:rPr>
              <w:t>Financial Institutions II</w:t>
            </w:r>
          </w:p>
        </w:tc>
        <w:tc>
          <w:tcPr>
            <w:tcW w:w="2394" w:type="dxa"/>
          </w:tcPr>
          <w:p w:rsidR="00172309" w:rsidRPr="00CF3831" w:rsidRDefault="0031350F" w:rsidP="003D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Life and non-life insurance companies in India, public and private Mutual Funds-Introduction and their role in capital market development, Types of mutual fund schemes</w:t>
            </w:r>
            <w:r w:rsidR="00604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(open ended </w:t>
            </w:r>
            <w:proofErr w:type="spellStart"/>
            <w:r>
              <w:rPr>
                <w:rFonts w:ascii="Times New Roman" w:hAnsi="Times New Roman" w:cs="Times New Roman"/>
              </w:rPr>
              <w:t>vs</w:t>
            </w:r>
            <w:proofErr w:type="spellEnd"/>
            <w:r>
              <w:rPr>
                <w:rFonts w:ascii="Times New Roman" w:hAnsi="Times New Roman" w:cs="Times New Roman"/>
              </w:rPr>
              <w:t xml:space="preserve"> close ended,</w:t>
            </w:r>
            <w:r w:rsidR="00EA0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Equity, Debt, Hybrid Schemes and ETFs. Non-banking Financial companies (NBFCs)</w:t>
            </w:r>
          </w:p>
        </w:tc>
        <w:tc>
          <w:tcPr>
            <w:tcW w:w="2394" w:type="dxa"/>
          </w:tcPr>
          <w:p w:rsidR="00172309" w:rsidRPr="00CF3831" w:rsidRDefault="00BC68B9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11-13 Week</w:t>
            </w:r>
          </w:p>
        </w:tc>
        <w:tc>
          <w:tcPr>
            <w:tcW w:w="2394" w:type="dxa"/>
          </w:tcPr>
          <w:p w:rsidR="003D71E7" w:rsidRPr="00CF3831" w:rsidRDefault="00BE7A4D" w:rsidP="003D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*D</w:t>
            </w:r>
            <w:r w:rsidR="00D43D07">
              <w:rPr>
                <w:rFonts w:ascii="Times New Roman" w:hAnsi="Times New Roman" w:cs="Times New Roman"/>
              </w:rPr>
              <w:t xml:space="preserve">etailed knowledge of insurance and </w:t>
            </w:r>
            <w:r>
              <w:rPr>
                <w:rFonts w:ascii="Times New Roman" w:hAnsi="Times New Roman" w:cs="Times New Roman"/>
              </w:rPr>
              <w:t>non-insurance</w:t>
            </w:r>
            <w:r w:rsidR="00D43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companies, mutual funds, its role, schemes</w:t>
            </w:r>
          </w:p>
          <w:p w:rsidR="00172309" w:rsidRPr="00CF3831" w:rsidRDefault="00172309" w:rsidP="002D2A61">
            <w:pPr>
              <w:rPr>
                <w:rFonts w:ascii="Times New Roman" w:hAnsi="Times New Roman" w:cs="Times New Roman"/>
              </w:rPr>
            </w:pPr>
          </w:p>
        </w:tc>
      </w:tr>
      <w:tr w:rsidR="008D347A" w:rsidRPr="00CF3831" w:rsidTr="00BB0596">
        <w:tc>
          <w:tcPr>
            <w:tcW w:w="2394" w:type="dxa"/>
          </w:tcPr>
          <w:p w:rsidR="008D347A" w:rsidRPr="00CF3831" w:rsidRDefault="008D347A" w:rsidP="002D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V-Financial Services Industry</w:t>
            </w:r>
          </w:p>
        </w:tc>
        <w:tc>
          <w:tcPr>
            <w:tcW w:w="2394" w:type="dxa"/>
          </w:tcPr>
          <w:p w:rsidR="008D347A" w:rsidRDefault="00EA0A09" w:rsidP="003D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Overview of Financial Services Industry, Merchant Banking –pre and post issue management, underwriting, Regulatory Framework relating to Merchant Banking in </w:t>
            </w:r>
            <w:r w:rsidR="003F1E0C">
              <w:rPr>
                <w:rFonts w:ascii="Times New Roman" w:hAnsi="Times New Roman" w:cs="Times New Roman"/>
              </w:rPr>
              <w:t xml:space="preserve">India. </w:t>
            </w:r>
            <w:r>
              <w:rPr>
                <w:rFonts w:ascii="Times New Roman" w:hAnsi="Times New Roman" w:cs="Times New Roman"/>
              </w:rPr>
              <w:t xml:space="preserve">Leasing and hire Purchase, Consumer and Housing Finance, Venture Capital Finance, Factoring Services, Credit Rating, Financial advisory and Portfolio Management Services.  </w:t>
            </w:r>
          </w:p>
        </w:tc>
        <w:tc>
          <w:tcPr>
            <w:tcW w:w="2394" w:type="dxa"/>
          </w:tcPr>
          <w:p w:rsidR="008D347A" w:rsidRPr="00CF3831" w:rsidRDefault="008D3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8D347A" w:rsidRDefault="00604F9E" w:rsidP="003D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*Understanding all concepts of Financial Services industry like Underwriting, leasing, Factoring</w:t>
            </w:r>
          </w:p>
          <w:p w:rsidR="00604F9E" w:rsidRPr="00CF3831" w:rsidRDefault="00604F9E" w:rsidP="003D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*Concept of Credit Rating Agencies, Portfolio management</w:t>
            </w:r>
          </w:p>
        </w:tc>
      </w:tr>
      <w:tr w:rsidR="00BF048B" w:rsidRPr="00CF3831" w:rsidTr="0094174B">
        <w:tc>
          <w:tcPr>
            <w:tcW w:w="9576" w:type="dxa"/>
            <w:gridSpan w:val="4"/>
          </w:tcPr>
          <w:p w:rsidR="00BF048B" w:rsidRPr="00CF3831" w:rsidRDefault="00BF048B" w:rsidP="00BF048B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Assessment De</w:t>
            </w:r>
            <w:r w:rsidR="001D0A36" w:rsidRPr="00CF3831">
              <w:rPr>
                <w:rFonts w:ascii="Times New Roman" w:hAnsi="Times New Roman" w:cs="Times New Roman"/>
              </w:rPr>
              <w:t>tails: Evaluation through test,</w:t>
            </w:r>
            <w:r w:rsidRPr="00CF3831">
              <w:rPr>
                <w:rFonts w:ascii="Times New Roman" w:hAnsi="Times New Roman" w:cs="Times New Roman"/>
              </w:rPr>
              <w:t xml:space="preserve"> Assignment and </w:t>
            </w:r>
            <w:r w:rsidR="001D0A36" w:rsidRPr="00CF3831">
              <w:rPr>
                <w:rFonts w:ascii="Times New Roman" w:hAnsi="Times New Roman" w:cs="Times New Roman"/>
              </w:rPr>
              <w:t>Presentation</w:t>
            </w:r>
          </w:p>
          <w:p w:rsidR="00BF048B" w:rsidRPr="00CF3831" w:rsidRDefault="00BF048B" w:rsidP="002D2A61">
            <w:pPr>
              <w:rPr>
                <w:rFonts w:ascii="Times New Roman" w:hAnsi="Times New Roman" w:cs="Times New Roman"/>
              </w:rPr>
            </w:pPr>
          </w:p>
        </w:tc>
      </w:tr>
    </w:tbl>
    <w:p w:rsidR="00CC4F14" w:rsidRDefault="00D86267">
      <w:pPr>
        <w:rPr>
          <w:rFonts w:ascii="Times New Roman" w:hAnsi="Times New Roman" w:cs="Times New Roman"/>
        </w:rPr>
      </w:pPr>
      <w:r w:rsidRPr="00CF3831">
        <w:rPr>
          <w:rFonts w:ascii="Times New Roman" w:hAnsi="Times New Roman" w:cs="Times New Roman"/>
        </w:rPr>
        <w:t>Readings</w:t>
      </w:r>
      <w:r w:rsidR="00E073AF" w:rsidRPr="00CF3831">
        <w:rPr>
          <w:rFonts w:ascii="Times New Roman" w:hAnsi="Times New Roman" w:cs="Times New Roman"/>
        </w:rPr>
        <w:t xml:space="preserve"> List</w:t>
      </w:r>
      <w:r w:rsidRPr="00CF3831">
        <w:rPr>
          <w:rFonts w:ascii="Times New Roman" w:hAnsi="Times New Roman" w:cs="Times New Roman"/>
        </w:rPr>
        <w:t>:</w:t>
      </w:r>
    </w:p>
    <w:p w:rsidR="008C0B21" w:rsidRDefault="008C0B21" w:rsidP="008C0B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Bhole</w:t>
      </w:r>
      <w:proofErr w:type="spellEnd"/>
      <w:r>
        <w:rPr>
          <w:rFonts w:ascii="Times New Roman" w:hAnsi="Times New Roman" w:cs="Times New Roman"/>
        </w:rPr>
        <w:t>, L.M, Financial Market and Institutions: Tata McGraw Hill Publication</w:t>
      </w:r>
    </w:p>
    <w:p w:rsidR="008C0B21" w:rsidRDefault="008C0B21" w:rsidP="008C0B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Kumar. V. Gupta. K. Kaur .M.  Financial, Market, Institutions and services , Taxman Publications</w:t>
      </w:r>
    </w:p>
    <w:p w:rsidR="008C0B21" w:rsidRDefault="008C0B21" w:rsidP="008C0B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M.Y Khan and Jain.</w:t>
      </w:r>
      <w:r w:rsidR="00400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P.K Financial services, Tata McGraw Hill</w:t>
      </w:r>
    </w:p>
    <w:p w:rsidR="00400BF8" w:rsidRDefault="00F807D9" w:rsidP="00F80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Resources:</w:t>
      </w:r>
    </w:p>
    <w:p w:rsidR="00F807D9" w:rsidRDefault="00F807D9" w:rsidP="00F807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Reports of Major Financial Institutions in India</w:t>
      </w:r>
    </w:p>
    <w:p w:rsidR="00F807D9" w:rsidRDefault="00F807D9" w:rsidP="00F807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Khan .M. Y</w:t>
      </w:r>
      <w:r w:rsidR="00643C11">
        <w:rPr>
          <w:rFonts w:ascii="Times New Roman" w:hAnsi="Times New Roman" w:cs="Times New Roman"/>
        </w:rPr>
        <w:t xml:space="preserve"> Indian Financial System : Theory and practice, </w:t>
      </w:r>
      <w:proofErr w:type="spellStart"/>
      <w:r w:rsidR="00643C11">
        <w:rPr>
          <w:rFonts w:ascii="Times New Roman" w:hAnsi="Times New Roman" w:cs="Times New Roman"/>
        </w:rPr>
        <w:t>Vikas</w:t>
      </w:r>
      <w:proofErr w:type="spellEnd"/>
      <w:r w:rsidR="00643C11">
        <w:rPr>
          <w:rFonts w:ascii="Times New Roman" w:hAnsi="Times New Roman" w:cs="Times New Roman"/>
        </w:rPr>
        <w:t xml:space="preserve"> Publishing House</w:t>
      </w:r>
    </w:p>
    <w:p w:rsidR="000A26EA" w:rsidRPr="00F807D9" w:rsidRDefault="000A26EA" w:rsidP="00F807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Sharma </w:t>
      </w:r>
      <w:r w:rsidR="003F5896">
        <w:rPr>
          <w:rFonts w:ascii="Times New Roman" w:hAnsi="Times New Roman" w:cs="Times New Roman"/>
        </w:rPr>
        <w:t>G.L &amp;</w:t>
      </w:r>
      <w:r>
        <w:rPr>
          <w:rFonts w:ascii="Times New Roman" w:hAnsi="Times New Roman" w:cs="Times New Roman"/>
        </w:rPr>
        <w:t xml:space="preserve"> </w:t>
      </w:r>
      <w:r w:rsidR="003F5896">
        <w:rPr>
          <w:rFonts w:ascii="Times New Roman" w:hAnsi="Times New Roman" w:cs="Times New Roman"/>
        </w:rPr>
        <w:t xml:space="preserve">Singh. </w:t>
      </w:r>
      <w:r>
        <w:rPr>
          <w:rFonts w:ascii="Times New Roman" w:hAnsi="Times New Roman" w:cs="Times New Roman"/>
        </w:rPr>
        <w:t>Y.P , Contemporary Issues in Finance and Taxation, academic Foundation , Delhi</w:t>
      </w:r>
    </w:p>
    <w:p w:rsidR="00656A22" w:rsidRPr="00CF3831" w:rsidRDefault="00656A22" w:rsidP="00CF3831">
      <w:pPr>
        <w:pStyle w:val="Heading2"/>
        <w:jc w:val="center"/>
      </w:pPr>
      <w:r w:rsidRPr="00CF3831">
        <w:t>BHARATI COLLEGE</w:t>
      </w:r>
    </w:p>
    <w:p w:rsidR="00656A22" w:rsidRPr="00CF3831" w:rsidRDefault="00656A22" w:rsidP="00CF3831">
      <w:pPr>
        <w:pStyle w:val="Heading2"/>
        <w:jc w:val="center"/>
        <w:rPr>
          <w:sz w:val="22"/>
          <w:szCs w:val="22"/>
        </w:rPr>
      </w:pPr>
      <w:r w:rsidRPr="00CF3831">
        <w:rPr>
          <w:sz w:val="22"/>
          <w:szCs w:val="22"/>
        </w:rPr>
        <w:t>UNIVERSITY OF DELHI</w:t>
      </w:r>
    </w:p>
    <w:p w:rsidR="00656A22" w:rsidRPr="00CF3831" w:rsidRDefault="00656A22" w:rsidP="00CF3831">
      <w:pPr>
        <w:pStyle w:val="Heading2"/>
        <w:jc w:val="center"/>
        <w:rPr>
          <w:sz w:val="22"/>
          <w:szCs w:val="22"/>
        </w:rPr>
      </w:pPr>
      <w:r w:rsidRPr="00CF3831">
        <w:rPr>
          <w:sz w:val="22"/>
          <w:szCs w:val="22"/>
        </w:rPr>
        <w:t>TEACHING PLAN</w:t>
      </w:r>
    </w:p>
    <w:sectPr w:rsidR="00656A22" w:rsidRPr="00CF3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530"/>
    <w:multiLevelType w:val="hybridMultilevel"/>
    <w:tmpl w:val="EF0A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7457"/>
    <w:multiLevelType w:val="hybridMultilevel"/>
    <w:tmpl w:val="E3D6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60A"/>
    <w:multiLevelType w:val="hybridMultilevel"/>
    <w:tmpl w:val="94226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000A4"/>
    <w:multiLevelType w:val="hybridMultilevel"/>
    <w:tmpl w:val="8EC83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A0BBF"/>
    <w:multiLevelType w:val="hybridMultilevel"/>
    <w:tmpl w:val="B94AC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294B6D"/>
    <w:multiLevelType w:val="hybridMultilevel"/>
    <w:tmpl w:val="C986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96"/>
    <w:rsid w:val="000A26EA"/>
    <w:rsid w:val="00114C76"/>
    <w:rsid w:val="00172309"/>
    <w:rsid w:val="001920A0"/>
    <w:rsid w:val="001D0A36"/>
    <w:rsid w:val="001E5578"/>
    <w:rsid w:val="0023172F"/>
    <w:rsid w:val="00262F1F"/>
    <w:rsid w:val="002A410F"/>
    <w:rsid w:val="002D2A61"/>
    <w:rsid w:val="0031350F"/>
    <w:rsid w:val="003630A1"/>
    <w:rsid w:val="003D71E7"/>
    <w:rsid w:val="003F1E0C"/>
    <w:rsid w:val="003F5896"/>
    <w:rsid w:val="00400BF8"/>
    <w:rsid w:val="00457B3E"/>
    <w:rsid w:val="005062DB"/>
    <w:rsid w:val="005410F8"/>
    <w:rsid w:val="00584E4E"/>
    <w:rsid w:val="005B7A79"/>
    <w:rsid w:val="00604F9E"/>
    <w:rsid w:val="00643C11"/>
    <w:rsid w:val="00656A22"/>
    <w:rsid w:val="006A0BA5"/>
    <w:rsid w:val="006C71C2"/>
    <w:rsid w:val="00864035"/>
    <w:rsid w:val="008C0B21"/>
    <w:rsid w:val="008D347A"/>
    <w:rsid w:val="008F1260"/>
    <w:rsid w:val="00991ADF"/>
    <w:rsid w:val="00A074D7"/>
    <w:rsid w:val="00A5192A"/>
    <w:rsid w:val="00A95F60"/>
    <w:rsid w:val="00AD0B50"/>
    <w:rsid w:val="00B165A1"/>
    <w:rsid w:val="00B215BF"/>
    <w:rsid w:val="00B93FD3"/>
    <w:rsid w:val="00BB0596"/>
    <w:rsid w:val="00BC68B9"/>
    <w:rsid w:val="00BE2751"/>
    <w:rsid w:val="00BE7A4D"/>
    <w:rsid w:val="00BF048B"/>
    <w:rsid w:val="00C238D3"/>
    <w:rsid w:val="00C732FE"/>
    <w:rsid w:val="00C87EDE"/>
    <w:rsid w:val="00CC4F14"/>
    <w:rsid w:val="00CE072C"/>
    <w:rsid w:val="00CF3831"/>
    <w:rsid w:val="00D43D07"/>
    <w:rsid w:val="00D86267"/>
    <w:rsid w:val="00DE4983"/>
    <w:rsid w:val="00E073AF"/>
    <w:rsid w:val="00E6399F"/>
    <w:rsid w:val="00EA0A09"/>
    <w:rsid w:val="00EA534F"/>
    <w:rsid w:val="00EB1803"/>
    <w:rsid w:val="00EC405B"/>
    <w:rsid w:val="00F24B19"/>
    <w:rsid w:val="00F807D9"/>
    <w:rsid w:val="00F907BC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BDD46-A00C-4261-A894-18C07830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A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6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dcterms:created xsi:type="dcterms:W3CDTF">2022-12-07T15:54:00Z</dcterms:created>
  <dcterms:modified xsi:type="dcterms:W3CDTF">2022-12-07T15:54:00Z</dcterms:modified>
</cp:coreProperties>
</file>