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2BCD" w14:textId="05DD0EBD" w:rsidR="00D568D2" w:rsidRDefault="00D568D2" w:rsidP="00D568D2">
      <w:pPr>
        <w:pStyle w:val="Heading2"/>
        <w:spacing w:before="89"/>
        <w:ind w:left="0" w:right="1927"/>
        <w:jc w:val="center"/>
      </w:pPr>
      <w:r>
        <w:t>Teaching Plan</w:t>
      </w:r>
      <w:r>
        <w:rPr>
          <w:spacing w:val="-1"/>
        </w:rPr>
        <w:t xml:space="preserve"> </w:t>
      </w:r>
      <w:r>
        <w:t>for</w:t>
      </w:r>
      <w:r>
        <w:rPr>
          <w:spacing w:val="-3"/>
        </w:rPr>
        <w:t xml:space="preserve"> </w:t>
      </w:r>
      <w:r>
        <w:t>Academic</w:t>
      </w:r>
      <w:r>
        <w:rPr>
          <w:spacing w:val="-2"/>
        </w:rPr>
        <w:t xml:space="preserve"> </w:t>
      </w:r>
      <w:r>
        <w:t>Year</w:t>
      </w:r>
      <w:r>
        <w:rPr>
          <w:spacing w:val="-4"/>
        </w:rPr>
        <w:t xml:space="preserve"> </w:t>
      </w:r>
      <w:r>
        <w:t>202</w:t>
      </w:r>
      <w:r w:rsidR="00F976CF">
        <w:t>1</w:t>
      </w:r>
      <w:r>
        <w:t>-2</w:t>
      </w:r>
      <w:r w:rsidR="00F976CF">
        <w:t>2</w:t>
      </w:r>
    </w:p>
    <w:p w14:paraId="04C812BF" w14:textId="77777777" w:rsidR="00D568D2" w:rsidRDefault="00D568D2" w:rsidP="00D568D2">
      <w:pPr>
        <w:pStyle w:val="BodyText"/>
        <w:rPr>
          <w:b/>
          <w:sz w:val="30"/>
        </w:rPr>
      </w:pPr>
    </w:p>
    <w:p w14:paraId="0A83D081" w14:textId="77777777" w:rsidR="00D568D2" w:rsidRDefault="00D568D2" w:rsidP="00D568D2">
      <w:pPr>
        <w:pStyle w:val="BodyText"/>
        <w:spacing w:before="9"/>
        <w:rPr>
          <w:b/>
          <w:sz w:val="23"/>
        </w:rPr>
      </w:pPr>
    </w:p>
    <w:p w14:paraId="1EFC6776" w14:textId="61C89201" w:rsidR="00EA64BF" w:rsidRPr="00F974A7" w:rsidRDefault="00EA64BF" w:rsidP="00EA64BF">
      <w:pPr>
        <w:spacing w:before="250"/>
        <w:ind w:right="2455"/>
        <w:rPr>
          <w:b/>
          <w:sz w:val="24"/>
          <w:szCs w:val="24"/>
        </w:rPr>
      </w:pPr>
      <w:r>
        <w:rPr>
          <w:b/>
          <w:sz w:val="24"/>
          <w:szCs w:val="24"/>
        </w:rPr>
        <w:t xml:space="preserve">  </w:t>
      </w:r>
      <w:r w:rsidR="00D568D2" w:rsidRPr="00D568D2">
        <w:rPr>
          <w:b/>
          <w:sz w:val="24"/>
          <w:szCs w:val="24"/>
        </w:rPr>
        <w:t>PAPER</w:t>
      </w:r>
      <w:r w:rsidR="00D568D2" w:rsidRPr="00F974A7">
        <w:rPr>
          <w:b/>
          <w:sz w:val="24"/>
          <w:szCs w:val="24"/>
        </w:rPr>
        <w:t xml:space="preserve">: </w:t>
      </w:r>
      <w:r w:rsidR="00F974A7" w:rsidRPr="00F974A7">
        <w:rPr>
          <w:b/>
          <w:sz w:val="24"/>
          <w:szCs w:val="24"/>
        </w:rPr>
        <w:t>Politics of Nature</w:t>
      </w:r>
    </w:p>
    <w:p w14:paraId="7DE2914B" w14:textId="73DCF803" w:rsidR="00D568D2" w:rsidRPr="00D568D2" w:rsidRDefault="00EA64BF" w:rsidP="00EA64BF">
      <w:pPr>
        <w:spacing w:before="1" w:line="278" w:lineRule="auto"/>
        <w:ind w:right="3565"/>
        <w:rPr>
          <w:b/>
          <w:sz w:val="24"/>
          <w:szCs w:val="24"/>
        </w:rPr>
      </w:pPr>
      <w:r>
        <w:rPr>
          <w:b/>
          <w:bCs/>
          <w:sz w:val="24"/>
          <w:szCs w:val="24"/>
        </w:rPr>
        <w:t xml:space="preserve">  </w:t>
      </w:r>
      <w:r w:rsidR="00D568D2" w:rsidRPr="00D568D2">
        <w:rPr>
          <w:b/>
          <w:sz w:val="24"/>
          <w:szCs w:val="24"/>
        </w:rPr>
        <w:t>SEMESTER:</w:t>
      </w:r>
      <w:r w:rsidR="00D568D2" w:rsidRPr="00D568D2">
        <w:rPr>
          <w:b/>
          <w:spacing w:val="-4"/>
          <w:sz w:val="24"/>
          <w:szCs w:val="24"/>
        </w:rPr>
        <w:t xml:space="preserve"> </w:t>
      </w:r>
      <w:r w:rsidR="00D568D2" w:rsidRPr="00D568D2">
        <w:rPr>
          <w:b/>
          <w:sz w:val="24"/>
          <w:szCs w:val="24"/>
        </w:rPr>
        <w:t>I</w:t>
      </w:r>
      <w:r w:rsidR="00F974A7">
        <w:rPr>
          <w:b/>
          <w:sz w:val="24"/>
          <w:szCs w:val="24"/>
        </w:rPr>
        <w:t>II</w:t>
      </w:r>
    </w:p>
    <w:p w14:paraId="77ECDF6E" w14:textId="68AE4BD2" w:rsidR="00D568D2" w:rsidRPr="00D568D2" w:rsidRDefault="00D568D2" w:rsidP="00D568D2">
      <w:pPr>
        <w:spacing w:line="317" w:lineRule="exact"/>
        <w:ind w:left="100"/>
        <w:rPr>
          <w:b/>
          <w:spacing w:val="-5"/>
          <w:sz w:val="24"/>
          <w:szCs w:val="24"/>
        </w:rPr>
      </w:pPr>
      <w:r w:rsidRPr="00D568D2">
        <w:rPr>
          <w:b/>
          <w:sz w:val="24"/>
          <w:szCs w:val="24"/>
        </w:rPr>
        <w:t>SESSION:</w:t>
      </w:r>
      <w:r w:rsidRPr="00D568D2">
        <w:rPr>
          <w:b/>
          <w:spacing w:val="-4"/>
          <w:sz w:val="24"/>
          <w:szCs w:val="24"/>
        </w:rPr>
        <w:t xml:space="preserve"> </w:t>
      </w:r>
      <w:r w:rsidRPr="00D568D2">
        <w:rPr>
          <w:b/>
          <w:sz w:val="24"/>
          <w:szCs w:val="24"/>
        </w:rPr>
        <w:t>202</w:t>
      </w:r>
      <w:r w:rsidR="00F976CF">
        <w:rPr>
          <w:b/>
          <w:sz w:val="24"/>
          <w:szCs w:val="24"/>
        </w:rPr>
        <w:t>1</w:t>
      </w:r>
      <w:r w:rsidRPr="00D568D2">
        <w:rPr>
          <w:b/>
          <w:sz w:val="24"/>
          <w:szCs w:val="24"/>
        </w:rPr>
        <w:t>-2</w:t>
      </w:r>
      <w:r w:rsidR="00F976CF">
        <w:rPr>
          <w:b/>
          <w:sz w:val="24"/>
          <w:szCs w:val="24"/>
        </w:rPr>
        <w:t>2</w:t>
      </w:r>
    </w:p>
    <w:p w14:paraId="55448276" w14:textId="16F63213" w:rsidR="00D568D2" w:rsidRDefault="00D568D2" w:rsidP="00D568D2">
      <w:pPr>
        <w:spacing w:line="317" w:lineRule="exact"/>
        <w:ind w:left="100"/>
        <w:rPr>
          <w:b/>
          <w:sz w:val="24"/>
          <w:szCs w:val="24"/>
        </w:rPr>
      </w:pPr>
      <w:r w:rsidRPr="00D568D2">
        <w:rPr>
          <w:b/>
          <w:sz w:val="24"/>
          <w:szCs w:val="24"/>
        </w:rPr>
        <w:t>TEACHER'S</w:t>
      </w:r>
      <w:r w:rsidRPr="00D568D2">
        <w:rPr>
          <w:b/>
          <w:spacing w:val="-7"/>
          <w:sz w:val="24"/>
          <w:szCs w:val="24"/>
        </w:rPr>
        <w:t xml:space="preserve"> </w:t>
      </w:r>
      <w:r w:rsidRPr="00D568D2">
        <w:rPr>
          <w:b/>
          <w:sz w:val="24"/>
          <w:szCs w:val="24"/>
        </w:rPr>
        <w:t>NAME:</w:t>
      </w:r>
      <w:r w:rsidRPr="00D568D2">
        <w:rPr>
          <w:b/>
          <w:spacing w:val="-3"/>
          <w:sz w:val="24"/>
          <w:szCs w:val="24"/>
        </w:rPr>
        <w:t xml:space="preserve"> </w:t>
      </w:r>
      <w:r w:rsidR="00BF2650">
        <w:rPr>
          <w:b/>
          <w:sz w:val="24"/>
          <w:szCs w:val="24"/>
        </w:rPr>
        <w:t>Mr. Rakesh Kumar</w:t>
      </w:r>
    </w:p>
    <w:p w14:paraId="6F7A065F" w14:textId="37535AFB" w:rsidR="00D568D2" w:rsidRDefault="00D568D2" w:rsidP="00D568D2">
      <w:pPr>
        <w:spacing w:line="317" w:lineRule="exact"/>
        <w:ind w:left="100"/>
        <w:rPr>
          <w:b/>
          <w:sz w:val="24"/>
          <w:szCs w:val="24"/>
        </w:rPr>
      </w:pPr>
    </w:p>
    <w:p w14:paraId="13D61B64" w14:textId="30CA5A01" w:rsidR="00D568D2" w:rsidRDefault="00D568D2" w:rsidP="00D568D2">
      <w:pPr>
        <w:spacing w:line="317" w:lineRule="exact"/>
        <w:ind w:left="100"/>
        <w:rPr>
          <w:b/>
          <w:sz w:val="24"/>
          <w:szCs w:val="24"/>
        </w:rPr>
      </w:pPr>
      <w:r>
        <w:rPr>
          <w:b/>
          <w:sz w:val="24"/>
          <w:szCs w:val="24"/>
        </w:rPr>
        <w:t>Syllabus:</w:t>
      </w:r>
    </w:p>
    <w:p w14:paraId="5DEB94FB" w14:textId="77777777" w:rsidR="00A66866" w:rsidRDefault="00A66866" w:rsidP="00D568D2">
      <w:pPr>
        <w:spacing w:line="317" w:lineRule="exact"/>
        <w:ind w:left="100"/>
        <w:rPr>
          <w:b/>
          <w:sz w:val="24"/>
          <w:szCs w:val="24"/>
        </w:rPr>
      </w:pPr>
    </w:p>
    <w:p w14:paraId="27AC2902" w14:textId="2CAC208C" w:rsidR="00903532" w:rsidRDefault="00A66866" w:rsidP="00A66866">
      <w:pPr>
        <w:spacing w:before="24" w:line="360" w:lineRule="auto"/>
        <w:ind w:left="166"/>
        <w:rPr>
          <w:b/>
          <w:bCs/>
          <w:sz w:val="24"/>
          <w:szCs w:val="24"/>
        </w:rPr>
      </w:pPr>
      <w:r w:rsidRPr="00A66866">
        <w:rPr>
          <w:b/>
          <w:bCs/>
          <w:sz w:val="24"/>
          <w:szCs w:val="24"/>
        </w:rPr>
        <w:t>Unit 1: ‘Spaceship called earth’ – competition for bounded resources and livelihoods</w:t>
      </w:r>
    </w:p>
    <w:p w14:paraId="626975F9" w14:textId="20E51821" w:rsidR="00A66866" w:rsidRDefault="00A66866" w:rsidP="00A66866">
      <w:pPr>
        <w:spacing w:before="24" w:line="360" w:lineRule="auto"/>
        <w:ind w:left="166"/>
        <w:rPr>
          <w:b/>
          <w:bCs/>
          <w:sz w:val="24"/>
          <w:szCs w:val="24"/>
        </w:rPr>
      </w:pPr>
      <w:r w:rsidRPr="00A66866">
        <w:rPr>
          <w:b/>
          <w:bCs/>
          <w:sz w:val="24"/>
          <w:szCs w:val="24"/>
        </w:rPr>
        <w:t>Unit 2: Energy in Human History: –</w:t>
      </w:r>
    </w:p>
    <w:p w14:paraId="256F5E09" w14:textId="77777777" w:rsidR="00A66866" w:rsidRDefault="00A66866" w:rsidP="00A66866">
      <w:pPr>
        <w:spacing w:before="24" w:line="360" w:lineRule="auto"/>
        <w:ind w:left="166"/>
        <w:rPr>
          <w:sz w:val="24"/>
          <w:szCs w:val="24"/>
        </w:rPr>
      </w:pPr>
      <w:r w:rsidRPr="00A66866">
        <w:rPr>
          <w:sz w:val="24"/>
          <w:szCs w:val="24"/>
        </w:rPr>
        <w:t xml:space="preserve">a. Before the era of coal, gas and oil </w:t>
      </w:r>
    </w:p>
    <w:p w14:paraId="0FDB7B37" w14:textId="6B48FCF5" w:rsidR="00A66866" w:rsidRDefault="00A66866" w:rsidP="00A66866">
      <w:pPr>
        <w:spacing w:before="24" w:line="360" w:lineRule="auto"/>
        <w:ind w:left="166"/>
        <w:rPr>
          <w:sz w:val="24"/>
          <w:szCs w:val="24"/>
        </w:rPr>
      </w:pPr>
      <w:r w:rsidRPr="00A66866">
        <w:rPr>
          <w:sz w:val="24"/>
          <w:szCs w:val="24"/>
        </w:rPr>
        <w:t>b. Era of fossil energy</w:t>
      </w:r>
    </w:p>
    <w:p w14:paraId="3FF90AB0" w14:textId="77777777" w:rsidR="00A66866" w:rsidRDefault="00A66866" w:rsidP="00A66866">
      <w:pPr>
        <w:spacing w:before="24" w:line="360" w:lineRule="auto"/>
        <w:ind w:left="166"/>
        <w:rPr>
          <w:b/>
          <w:bCs/>
          <w:sz w:val="24"/>
          <w:szCs w:val="24"/>
        </w:rPr>
      </w:pPr>
      <w:r w:rsidRPr="00A66866">
        <w:rPr>
          <w:b/>
          <w:bCs/>
          <w:sz w:val="24"/>
          <w:szCs w:val="24"/>
        </w:rPr>
        <w:t xml:space="preserve">Unit 3: Ecological Imperialism </w:t>
      </w:r>
    </w:p>
    <w:p w14:paraId="5666C300" w14:textId="77777777" w:rsidR="00A66866" w:rsidRPr="00A66866" w:rsidRDefault="00A66866" w:rsidP="00A66866">
      <w:pPr>
        <w:spacing w:before="24" w:line="360" w:lineRule="auto"/>
        <w:ind w:left="166"/>
        <w:rPr>
          <w:sz w:val="24"/>
          <w:szCs w:val="24"/>
        </w:rPr>
      </w:pPr>
      <w:r w:rsidRPr="00A66866">
        <w:rPr>
          <w:sz w:val="24"/>
          <w:szCs w:val="24"/>
        </w:rPr>
        <w:t xml:space="preserve">a. Flora-fauna transfer </w:t>
      </w:r>
    </w:p>
    <w:p w14:paraId="6A1D400F" w14:textId="501BD27C" w:rsidR="00A66866" w:rsidRDefault="00A66866" w:rsidP="00A66866">
      <w:pPr>
        <w:spacing w:before="24" w:line="360" w:lineRule="auto"/>
        <w:ind w:left="166"/>
        <w:rPr>
          <w:sz w:val="24"/>
          <w:szCs w:val="24"/>
        </w:rPr>
      </w:pPr>
      <w:r w:rsidRPr="00A66866">
        <w:rPr>
          <w:sz w:val="24"/>
          <w:szCs w:val="24"/>
        </w:rPr>
        <w:t>b. Diseases and Migration</w:t>
      </w:r>
    </w:p>
    <w:p w14:paraId="36FBE89C" w14:textId="77777777" w:rsidR="00A66866" w:rsidRDefault="00A66866" w:rsidP="00A66866">
      <w:pPr>
        <w:spacing w:before="24" w:line="360" w:lineRule="auto"/>
        <w:ind w:left="166"/>
        <w:rPr>
          <w:sz w:val="24"/>
          <w:szCs w:val="24"/>
        </w:rPr>
      </w:pPr>
      <w:r w:rsidRPr="00A66866">
        <w:rPr>
          <w:b/>
          <w:bCs/>
          <w:sz w:val="24"/>
          <w:szCs w:val="24"/>
        </w:rPr>
        <w:t>Unit 4: Unequal access and Industrial Production,</w:t>
      </w:r>
      <w:r w:rsidRPr="00A66866">
        <w:rPr>
          <w:sz w:val="24"/>
          <w:szCs w:val="24"/>
        </w:rPr>
        <w:t xml:space="preserve"> </w:t>
      </w:r>
    </w:p>
    <w:p w14:paraId="40729994" w14:textId="77777777" w:rsidR="00E52523" w:rsidRDefault="00A66866" w:rsidP="00A66866">
      <w:pPr>
        <w:spacing w:before="24" w:line="360" w:lineRule="auto"/>
        <w:ind w:left="166"/>
        <w:rPr>
          <w:sz w:val="24"/>
          <w:szCs w:val="24"/>
        </w:rPr>
      </w:pPr>
      <w:r w:rsidRPr="00A66866">
        <w:rPr>
          <w:sz w:val="24"/>
          <w:szCs w:val="24"/>
        </w:rPr>
        <w:t xml:space="preserve">a. Industrial Agriculture </w:t>
      </w:r>
    </w:p>
    <w:p w14:paraId="05AB99ED" w14:textId="77777777" w:rsidR="00E52523" w:rsidRDefault="00A66866" w:rsidP="00A66866">
      <w:pPr>
        <w:spacing w:before="24" w:line="360" w:lineRule="auto"/>
        <w:ind w:left="166"/>
        <w:rPr>
          <w:sz w:val="24"/>
          <w:szCs w:val="24"/>
        </w:rPr>
      </w:pPr>
      <w:r w:rsidRPr="00A66866">
        <w:rPr>
          <w:sz w:val="24"/>
          <w:szCs w:val="24"/>
        </w:rPr>
        <w:t xml:space="preserve">b. Gendered access to natural resources </w:t>
      </w:r>
    </w:p>
    <w:p w14:paraId="6C33AF95" w14:textId="77777777" w:rsidR="00E52523" w:rsidRDefault="00A66866" w:rsidP="00A66866">
      <w:pPr>
        <w:spacing w:before="24" w:line="360" w:lineRule="auto"/>
        <w:ind w:left="166"/>
        <w:rPr>
          <w:sz w:val="24"/>
          <w:szCs w:val="24"/>
        </w:rPr>
      </w:pPr>
      <w:r w:rsidRPr="00A66866">
        <w:rPr>
          <w:sz w:val="24"/>
          <w:szCs w:val="24"/>
        </w:rPr>
        <w:t xml:space="preserve">c. Cities and inequalities </w:t>
      </w:r>
    </w:p>
    <w:p w14:paraId="633CD8E7" w14:textId="77777777" w:rsidR="00E52523" w:rsidRDefault="00A66866" w:rsidP="00A66866">
      <w:pPr>
        <w:spacing w:before="24" w:line="360" w:lineRule="auto"/>
        <w:ind w:left="166"/>
        <w:rPr>
          <w:sz w:val="24"/>
          <w:szCs w:val="24"/>
        </w:rPr>
      </w:pPr>
      <w:r w:rsidRPr="00E52523">
        <w:rPr>
          <w:b/>
          <w:bCs/>
          <w:sz w:val="24"/>
          <w:szCs w:val="24"/>
        </w:rPr>
        <w:t>Unit 5: Anthropocene</w:t>
      </w:r>
      <w:r w:rsidRPr="00A66866">
        <w:rPr>
          <w:sz w:val="24"/>
          <w:szCs w:val="24"/>
        </w:rPr>
        <w:t xml:space="preserve"> </w:t>
      </w:r>
    </w:p>
    <w:p w14:paraId="07E7B947" w14:textId="77777777" w:rsidR="00E52523" w:rsidRDefault="00A66866" w:rsidP="00A66866">
      <w:pPr>
        <w:spacing w:before="24" w:line="360" w:lineRule="auto"/>
        <w:ind w:left="166"/>
        <w:rPr>
          <w:sz w:val="24"/>
          <w:szCs w:val="24"/>
        </w:rPr>
      </w:pPr>
      <w:r w:rsidRPr="00A66866">
        <w:rPr>
          <w:sz w:val="24"/>
          <w:szCs w:val="24"/>
        </w:rPr>
        <w:t xml:space="preserve">a. Climate change and writing ecological histories </w:t>
      </w:r>
    </w:p>
    <w:p w14:paraId="33FA89EC" w14:textId="305A0111" w:rsidR="00A66866" w:rsidRPr="00A66866" w:rsidRDefault="00A66866" w:rsidP="00A66866">
      <w:pPr>
        <w:spacing w:before="24" w:line="360" w:lineRule="auto"/>
        <w:ind w:left="166"/>
        <w:rPr>
          <w:b/>
          <w:bCs/>
          <w:sz w:val="24"/>
          <w:szCs w:val="24"/>
        </w:rPr>
      </w:pPr>
      <w:r w:rsidRPr="00A66866">
        <w:rPr>
          <w:sz w:val="24"/>
          <w:szCs w:val="24"/>
        </w:rPr>
        <w:t>b. Debating the Anthropocene / Capitalocene</w:t>
      </w:r>
    </w:p>
    <w:p w14:paraId="07851552" w14:textId="77777777" w:rsidR="00A61995" w:rsidRPr="00A66866" w:rsidRDefault="00A61995" w:rsidP="00A66866">
      <w:pPr>
        <w:spacing w:line="360" w:lineRule="auto"/>
        <w:rPr>
          <w:sz w:val="24"/>
          <w:szCs w:val="24"/>
        </w:rPr>
      </w:pPr>
    </w:p>
    <w:p w14:paraId="7D1EB835" w14:textId="77777777" w:rsidR="00A61995" w:rsidRDefault="00A61995" w:rsidP="00A61995">
      <w:pPr>
        <w:spacing w:line="317" w:lineRule="exact"/>
        <w:rPr>
          <w:sz w:val="25"/>
        </w:rPr>
      </w:pPr>
    </w:p>
    <w:p w14:paraId="252A0610" w14:textId="42B17F22" w:rsidR="006F3BCB" w:rsidRPr="00F976CF" w:rsidRDefault="00D568D2" w:rsidP="00F976CF">
      <w:pPr>
        <w:spacing w:line="317" w:lineRule="exact"/>
        <w:rPr>
          <w:b/>
          <w:sz w:val="24"/>
          <w:szCs w:val="24"/>
        </w:rPr>
      </w:pPr>
      <w:r>
        <w:rPr>
          <w:b/>
          <w:sz w:val="24"/>
          <w:szCs w:val="24"/>
        </w:rPr>
        <w:t>Course Description</w:t>
      </w:r>
    </w:p>
    <w:p w14:paraId="0F135966" w14:textId="77777777" w:rsidR="00A61995" w:rsidRDefault="00A61995" w:rsidP="00A61995">
      <w:pPr>
        <w:spacing w:before="90" w:line="360" w:lineRule="auto"/>
        <w:ind w:right="893"/>
        <w:jc w:val="both"/>
        <w:rPr>
          <w:color w:val="1A1A1A"/>
          <w:w w:val="90"/>
          <w:sz w:val="24"/>
          <w:szCs w:val="24"/>
        </w:rPr>
      </w:pPr>
    </w:p>
    <w:p w14:paraId="607C5C97" w14:textId="5019E570" w:rsidR="006F3BCB" w:rsidRDefault="00353037" w:rsidP="00353037">
      <w:pPr>
        <w:pStyle w:val="BodyText"/>
        <w:spacing w:before="11" w:line="360" w:lineRule="auto"/>
      </w:pPr>
      <w:r>
        <w:t xml:space="preserve">This introductory course familiarizes students with the major themes in the history of human organization of nature -- for food, energy and raw materials. It studies the long-term transformations in the organization of Nature by the state and to manage energy production, plant and animal transfers, circulation of commodities and people, urbanization and industrialization of production. This will help students understand the ecological articulation of social inequalities including class, gender, ethnicity, caste, and nationality. By focusing on the planetary scale of ecological interconnectedness students will learn how to situate the </w:t>
      </w:r>
      <w:r>
        <w:lastRenderedPageBreak/>
        <w:t>politics of Nature that integrates extremes: poverty in the fertile plains, the development of cities and related environmental degradation elsewhere, scarcity of energy where dams and mines exists, and inequalities produced by carbon-energy regimes. Unit 5 will introduce the students to the issues and debates related to the ecological predicaments of the twenty-first century in a historical perspective.</w:t>
      </w:r>
    </w:p>
    <w:p w14:paraId="0C83DEC5" w14:textId="16CFD95A" w:rsidR="00A66866" w:rsidRDefault="00A66866" w:rsidP="00353037">
      <w:pPr>
        <w:pStyle w:val="BodyText"/>
        <w:spacing w:before="11" w:line="360" w:lineRule="auto"/>
        <w:rPr>
          <w:sz w:val="20"/>
        </w:rPr>
      </w:pPr>
    </w:p>
    <w:p w14:paraId="1C987E14" w14:textId="77777777" w:rsidR="00F976CF" w:rsidRPr="00B33ADE" w:rsidRDefault="00F976CF" w:rsidP="00F976CF">
      <w:pPr>
        <w:pStyle w:val="Heading2"/>
        <w:spacing w:before="227" w:line="360" w:lineRule="auto"/>
        <w:ind w:left="0"/>
        <w:rPr>
          <w:sz w:val="24"/>
          <w:szCs w:val="24"/>
        </w:rPr>
      </w:pPr>
      <w:r w:rsidRPr="00B33ADE">
        <w:rPr>
          <w:sz w:val="24"/>
          <w:szCs w:val="24"/>
        </w:rPr>
        <w:t>TEACHING</w:t>
      </w:r>
      <w:r w:rsidRPr="00B33ADE">
        <w:rPr>
          <w:spacing w:val="-4"/>
          <w:sz w:val="24"/>
          <w:szCs w:val="24"/>
        </w:rPr>
        <w:t xml:space="preserve"> </w:t>
      </w:r>
      <w:r w:rsidRPr="00B33ADE">
        <w:rPr>
          <w:sz w:val="24"/>
          <w:szCs w:val="24"/>
        </w:rPr>
        <w:t>TIME</w:t>
      </w:r>
      <w:r w:rsidRPr="00B33ADE">
        <w:rPr>
          <w:spacing w:val="-1"/>
          <w:sz w:val="24"/>
          <w:szCs w:val="24"/>
        </w:rPr>
        <w:t xml:space="preserve"> </w:t>
      </w:r>
      <w:r w:rsidRPr="00B33ADE">
        <w:rPr>
          <w:sz w:val="24"/>
          <w:szCs w:val="24"/>
        </w:rPr>
        <w:t>(No.</w:t>
      </w:r>
      <w:r w:rsidRPr="00B33ADE">
        <w:rPr>
          <w:spacing w:val="-4"/>
          <w:sz w:val="24"/>
          <w:szCs w:val="24"/>
        </w:rPr>
        <w:t xml:space="preserve"> </w:t>
      </w:r>
      <w:r w:rsidRPr="00B33ADE">
        <w:rPr>
          <w:sz w:val="24"/>
          <w:szCs w:val="24"/>
        </w:rPr>
        <w:t>Of</w:t>
      </w:r>
      <w:r w:rsidRPr="00B33ADE">
        <w:rPr>
          <w:spacing w:val="-1"/>
          <w:sz w:val="24"/>
          <w:szCs w:val="24"/>
        </w:rPr>
        <w:t xml:space="preserve"> </w:t>
      </w:r>
      <w:r w:rsidRPr="00B33ADE">
        <w:rPr>
          <w:sz w:val="24"/>
          <w:szCs w:val="24"/>
        </w:rPr>
        <w:t>Weeks)</w:t>
      </w:r>
    </w:p>
    <w:p w14:paraId="21298242" w14:textId="77777777" w:rsidR="00F976CF" w:rsidRPr="00B33ADE" w:rsidRDefault="00F976CF" w:rsidP="00F976CF">
      <w:pPr>
        <w:pStyle w:val="Heading2"/>
        <w:ind w:left="0"/>
        <w:rPr>
          <w:b w:val="0"/>
          <w:bCs w:val="0"/>
          <w:sz w:val="24"/>
          <w:szCs w:val="24"/>
        </w:rPr>
      </w:pPr>
      <w:r>
        <w:rPr>
          <w:b w:val="0"/>
          <w:bCs w:val="0"/>
          <w:sz w:val="24"/>
          <w:szCs w:val="24"/>
        </w:rPr>
        <w:t>14 weeks approximately (70 classes+ 42 Tutorials)</w:t>
      </w:r>
    </w:p>
    <w:p w14:paraId="53845579" w14:textId="77777777" w:rsidR="00F976CF" w:rsidRDefault="00F976CF" w:rsidP="00353037">
      <w:pPr>
        <w:pStyle w:val="BodyText"/>
        <w:spacing w:before="11" w:line="360" w:lineRule="auto"/>
        <w:rPr>
          <w:sz w:val="20"/>
        </w:rPr>
      </w:pPr>
    </w:p>
    <w:p w14:paraId="1DF8F382" w14:textId="77777777" w:rsidR="006F3BCB" w:rsidRPr="003B6AFB" w:rsidRDefault="006F3BCB" w:rsidP="006F3BCB">
      <w:pPr>
        <w:pStyle w:val="Heading2"/>
        <w:rPr>
          <w:sz w:val="24"/>
          <w:szCs w:val="24"/>
        </w:rPr>
      </w:pPr>
      <w:r w:rsidRPr="003B6AFB">
        <w:rPr>
          <w:sz w:val="24"/>
          <w:szCs w:val="24"/>
        </w:rPr>
        <w:t>CLASSES</w:t>
      </w:r>
    </w:p>
    <w:p w14:paraId="6269D3EF" w14:textId="77777777" w:rsidR="006F3BCB" w:rsidRPr="003B6AFB" w:rsidRDefault="006F3BCB" w:rsidP="006F3BCB">
      <w:pPr>
        <w:pStyle w:val="BodyText"/>
      </w:pPr>
    </w:p>
    <w:p w14:paraId="10F45FC1" w14:textId="3B328792" w:rsidR="006F3BCB" w:rsidRPr="003B6AFB" w:rsidRDefault="006F3BCB" w:rsidP="005650E9">
      <w:pPr>
        <w:adjustRightInd w:val="0"/>
        <w:spacing w:line="360" w:lineRule="auto"/>
        <w:jc w:val="both"/>
        <w:rPr>
          <w:rFonts w:eastAsiaTheme="minorHAnsi"/>
          <w:sz w:val="24"/>
          <w:szCs w:val="24"/>
        </w:rPr>
      </w:pPr>
      <w:r w:rsidRPr="003B6AFB">
        <w:rPr>
          <w:sz w:val="24"/>
          <w:szCs w:val="24"/>
        </w:rPr>
        <w:t xml:space="preserve">The course is organized around daily lectures as per the timetable. Students will be given reading assignments each week to help them follow the course content. These readings will be discussed in class in detail.  </w:t>
      </w:r>
      <w:r w:rsidRPr="003B6AFB">
        <w:rPr>
          <w:rFonts w:eastAsiaTheme="minorHAnsi"/>
          <w:sz w:val="24"/>
          <w:szCs w:val="24"/>
        </w:rPr>
        <w:t>The presentation shall focus either on important themes covered in the class lectures, or on specific readings. Interactive sessions through group discussions or group presentations. shall be used to enable un-learning of prevailing misconceptions about historical developments and time periods, as well as to facilitate revision of issues outlined in the lectures. Supporting audio-visual aids like documentaries and power point presentations, and an appropriate field-visit will be used where necessary.</w:t>
      </w:r>
    </w:p>
    <w:p w14:paraId="1C87B552" w14:textId="1D43D6FE" w:rsidR="0047621E" w:rsidRPr="003B6AFB" w:rsidRDefault="0047621E" w:rsidP="006F3BCB">
      <w:pPr>
        <w:adjustRightInd w:val="0"/>
        <w:jc w:val="both"/>
        <w:rPr>
          <w:rFonts w:eastAsiaTheme="minorHAnsi"/>
          <w:sz w:val="24"/>
          <w:szCs w:val="24"/>
        </w:rPr>
      </w:pPr>
    </w:p>
    <w:p w14:paraId="4E9B9DB2" w14:textId="42FDA42F" w:rsidR="0047621E" w:rsidRPr="003B6AFB" w:rsidRDefault="0047621E" w:rsidP="006F3BCB">
      <w:pPr>
        <w:adjustRightInd w:val="0"/>
        <w:jc w:val="both"/>
        <w:rPr>
          <w:rFonts w:eastAsiaTheme="minorHAnsi"/>
          <w:sz w:val="24"/>
          <w:szCs w:val="24"/>
        </w:rPr>
      </w:pPr>
    </w:p>
    <w:p w14:paraId="4245B265" w14:textId="77777777" w:rsidR="00471A59" w:rsidRPr="003B6AFB" w:rsidRDefault="00471A59" w:rsidP="00471A59">
      <w:pPr>
        <w:widowControl/>
        <w:tabs>
          <w:tab w:val="left" w:pos="420"/>
        </w:tabs>
        <w:autoSpaceDE/>
        <w:autoSpaceDN/>
        <w:rPr>
          <w:b/>
          <w:bCs/>
          <w:sz w:val="24"/>
          <w:szCs w:val="24"/>
        </w:rPr>
      </w:pPr>
    </w:p>
    <w:p w14:paraId="47930679" w14:textId="78146A7A" w:rsidR="001B7069" w:rsidRPr="003B6AFB" w:rsidRDefault="001B7069" w:rsidP="001B7069">
      <w:pPr>
        <w:widowControl/>
        <w:numPr>
          <w:ilvl w:val="0"/>
          <w:numId w:val="2"/>
        </w:numPr>
        <w:autoSpaceDE/>
        <w:autoSpaceDN/>
        <w:rPr>
          <w:b/>
          <w:bCs/>
          <w:sz w:val="24"/>
          <w:szCs w:val="24"/>
        </w:rPr>
      </w:pPr>
      <w:r w:rsidRPr="003B6AFB">
        <w:rPr>
          <w:b/>
          <w:bCs/>
          <w:sz w:val="24"/>
          <w:szCs w:val="24"/>
        </w:rPr>
        <w:t xml:space="preserve">ASSESSMENT </w:t>
      </w:r>
    </w:p>
    <w:p w14:paraId="6E6C30D6" w14:textId="77777777" w:rsidR="001B7069" w:rsidRPr="003B6AFB" w:rsidRDefault="001B7069" w:rsidP="001B7069">
      <w:pPr>
        <w:rPr>
          <w:sz w:val="24"/>
          <w:szCs w:val="24"/>
        </w:rPr>
      </w:pPr>
    </w:p>
    <w:p w14:paraId="479A7CA0" w14:textId="77777777" w:rsidR="001B7069" w:rsidRPr="003B6AFB" w:rsidRDefault="001B7069" w:rsidP="001B7069">
      <w:pPr>
        <w:rPr>
          <w:b/>
          <w:bCs/>
          <w:sz w:val="24"/>
          <w:szCs w:val="24"/>
        </w:rPr>
      </w:pPr>
      <w:r w:rsidRPr="003B6AFB">
        <w:rPr>
          <w:b/>
          <w:bCs/>
          <w:sz w:val="24"/>
          <w:szCs w:val="24"/>
        </w:rPr>
        <w:t xml:space="preserve">Internal Assessment: 25 Marks </w:t>
      </w:r>
    </w:p>
    <w:p w14:paraId="0CABDBC6" w14:textId="77777777" w:rsidR="001B7069" w:rsidRPr="003B6AFB" w:rsidRDefault="001B7069" w:rsidP="001B7069">
      <w:pPr>
        <w:rPr>
          <w:b/>
          <w:bCs/>
          <w:sz w:val="24"/>
          <w:szCs w:val="24"/>
        </w:rPr>
      </w:pPr>
    </w:p>
    <w:p w14:paraId="381ADFA5" w14:textId="77777777" w:rsidR="001B7069" w:rsidRPr="003B6AFB" w:rsidRDefault="001B7069" w:rsidP="003B6AFB">
      <w:pPr>
        <w:spacing w:line="360" w:lineRule="auto"/>
        <w:jc w:val="both"/>
        <w:rPr>
          <w:sz w:val="24"/>
          <w:szCs w:val="24"/>
        </w:rPr>
      </w:pPr>
      <w:r w:rsidRPr="003B6AFB">
        <w:rPr>
          <w:rFonts w:eastAsiaTheme="minorHAnsi"/>
          <w:sz w:val="24"/>
          <w:szCs w:val="24"/>
        </w:rPr>
        <w:t>Students will be regularly assessed for their grasp on debates and discussions covered in class. Two written submissions; one of which could be a short project, will be used for final grading of the students. Students will be assessed on their ability to explain important historical trends and thereby engage with the historical approach.</w:t>
      </w:r>
      <w:r w:rsidRPr="003B6AFB">
        <w:rPr>
          <w:sz w:val="24"/>
          <w:szCs w:val="24"/>
        </w:rPr>
        <w:t xml:space="preserve"> Students in this course will primarily have three modes of assessment:</w:t>
      </w:r>
    </w:p>
    <w:p w14:paraId="7A0296ED" w14:textId="77777777" w:rsidR="001B7069" w:rsidRPr="003B6AFB" w:rsidRDefault="001B7069" w:rsidP="003B6AFB">
      <w:pPr>
        <w:spacing w:line="360" w:lineRule="auto"/>
        <w:jc w:val="both"/>
        <w:rPr>
          <w:sz w:val="24"/>
          <w:szCs w:val="24"/>
        </w:rPr>
      </w:pPr>
      <w:r w:rsidRPr="003B6AFB">
        <w:rPr>
          <w:sz w:val="24"/>
          <w:szCs w:val="24"/>
        </w:rPr>
        <w:t xml:space="preserve"> 1) Written assignment</w:t>
      </w:r>
    </w:p>
    <w:p w14:paraId="50650812" w14:textId="77777777" w:rsidR="001B7069" w:rsidRPr="003B6AFB" w:rsidRDefault="001B7069" w:rsidP="003B6AFB">
      <w:pPr>
        <w:spacing w:line="360" w:lineRule="auto"/>
        <w:jc w:val="both"/>
        <w:rPr>
          <w:sz w:val="24"/>
          <w:szCs w:val="24"/>
        </w:rPr>
      </w:pPr>
      <w:r w:rsidRPr="003B6AFB">
        <w:rPr>
          <w:sz w:val="24"/>
          <w:szCs w:val="24"/>
        </w:rPr>
        <w:t xml:space="preserve"> 2) Presentation</w:t>
      </w:r>
    </w:p>
    <w:p w14:paraId="4EF36BB0" w14:textId="77777777" w:rsidR="001B7069" w:rsidRPr="003B6AFB" w:rsidRDefault="001B7069" w:rsidP="003B6AFB">
      <w:pPr>
        <w:spacing w:line="360" w:lineRule="auto"/>
        <w:jc w:val="both"/>
        <w:rPr>
          <w:sz w:val="24"/>
          <w:szCs w:val="24"/>
        </w:rPr>
      </w:pPr>
      <w:r w:rsidRPr="003B6AFB">
        <w:rPr>
          <w:sz w:val="24"/>
          <w:szCs w:val="24"/>
        </w:rPr>
        <w:t xml:space="preserve"> 3) Class Test</w:t>
      </w:r>
    </w:p>
    <w:p w14:paraId="6B770DE9" w14:textId="03C61391" w:rsidR="001B7069" w:rsidRPr="003B6AFB" w:rsidRDefault="001B7069" w:rsidP="003B6AFB">
      <w:pPr>
        <w:spacing w:line="360" w:lineRule="auto"/>
        <w:jc w:val="both"/>
        <w:rPr>
          <w:sz w:val="24"/>
          <w:szCs w:val="24"/>
        </w:rPr>
      </w:pPr>
      <w:r w:rsidRPr="003B6AFB">
        <w:rPr>
          <w:sz w:val="24"/>
          <w:szCs w:val="24"/>
        </w:rPr>
        <w:t>Two assignments of 5 marks each. Students will have to write one essay-based assignment inclusive of bibliographies, and for the second assignment, they will have to prepare a presentation. There will be a Class Test of 10 marks. It will take place tentatively after the mid-</w:t>
      </w:r>
      <w:r w:rsidRPr="003B6AFB">
        <w:rPr>
          <w:sz w:val="24"/>
          <w:szCs w:val="24"/>
        </w:rPr>
        <w:lastRenderedPageBreak/>
        <w:t>semester break.</w:t>
      </w:r>
    </w:p>
    <w:p w14:paraId="515D8EB7" w14:textId="60E94CFC" w:rsidR="001B7069" w:rsidRPr="003B6AFB" w:rsidRDefault="001B7069" w:rsidP="003B6AFB">
      <w:pPr>
        <w:spacing w:line="360" w:lineRule="auto"/>
        <w:jc w:val="both"/>
        <w:rPr>
          <w:sz w:val="24"/>
          <w:szCs w:val="24"/>
        </w:rPr>
      </w:pPr>
      <w:r w:rsidRPr="003B6AFB">
        <w:rPr>
          <w:sz w:val="24"/>
          <w:szCs w:val="24"/>
        </w:rPr>
        <w:t>Additionally, there are 5 marks for Attendance</w:t>
      </w:r>
    </w:p>
    <w:p w14:paraId="179075D8" w14:textId="77777777" w:rsidR="0047621E" w:rsidRDefault="0047621E" w:rsidP="006F3BCB">
      <w:pPr>
        <w:adjustRightInd w:val="0"/>
        <w:jc w:val="both"/>
        <w:rPr>
          <w:rFonts w:ascii="Book Antiqua" w:eastAsiaTheme="minorHAnsi" w:hAnsi="Book Antiqua" w:cs="TimesNewRomanPSMT"/>
          <w:sz w:val="24"/>
          <w:szCs w:val="24"/>
        </w:rPr>
      </w:pPr>
    </w:p>
    <w:p w14:paraId="275F0561" w14:textId="035E101E" w:rsidR="006F3BCB" w:rsidRDefault="006F3BCB" w:rsidP="006F3BCB">
      <w:pPr>
        <w:adjustRightInd w:val="0"/>
        <w:jc w:val="both"/>
        <w:rPr>
          <w:rFonts w:ascii="Book Antiqua" w:eastAsiaTheme="minorHAnsi" w:hAnsi="Book Antiqua" w:cs="TimesNewRomanPSMT"/>
          <w:sz w:val="24"/>
          <w:szCs w:val="24"/>
        </w:rPr>
      </w:pPr>
    </w:p>
    <w:p w14:paraId="4A9CF303" w14:textId="0223A910" w:rsidR="006F3BCB" w:rsidRDefault="006F3BCB" w:rsidP="006F3BCB">
      <w:pPr>
        <w:adjustRightInd w:val="0"/>
        <w:jc w:val="both"/>
        <w:rPr>
          <w:rFonts w:ascii="Book Antiqua" w:eastAsiaTheme="minorHAnsi" w:hAnsi="Book Antiqua" w:cs="TimesNewRomanPSMT"/>
          <w:sz w:val="24"/>
          <w:szCs w:val="24"/>
        </w:rPr>
      </w:pPr>
    </w:p>
    <w:p w14:paraId="2D197EAA" w14:textId="2D90C7CF" w:rsidR="006F3BCB" w:rsidRDefault="006F3BCB" w:rsidP="006F3BCB">
      <w:pPr>
        <w:adjustRightInd w:val="0"/>
        <w:jc w:val="both"/>
        <w:rPr>
          <w:rFonts w:ascii="Book Antiqua" w:eastAsiaTheme="minorHAnsi" w:hAnsi="Book Antiqua" w:cs="TimesNewRomanPSMT"/>
          <w:b/>
          <w:sz w:val="24"/>
          <w:szCs w:val="24"/>
        </w:rPr>
      </w:pPr>
      <w:r w:rsidRPr="006F3BCB">
        <w:rPr>
          <w:rFonts w:ascii="Book Antiqua" w:eastAsiaTheme="minorHAnsi" w:hAnsi="Book Antiqua" w:cs="TimesNewRomanPSMT"/>
          <w:b/>
          <w:sz w:val="24"/>
          <w:szCs w:val="24"/>
        </w:rPr>
        <w:t>Essential Readings:</w:t>
      </w:r>
    </w:p>
    <w:p w14:paraId="264E1E93" w14:textId="1DF7C718" w:rsidR="00A61995" w:rsidRDefault="00A61995" w:rsidP="006F3BCB">
      <w:pPr>
        <w:adjustRightInd w:val="0"/>
        <w:jc w:val="both"/>
        <w:rPr>
          <w:rFonts w:ascii="Book Antiqua" w:eastAsiaTheme="minorHAnsi" w:hAnsi="Book Antiqua" w:cs="TimesNewRomanPSMT"/>
          <w:b/>
          <w:sz w:val="24"/>
          <w:szCs w:val="24"/>
        </w:rPr>
      </w:pPr>
    </w:p>
    <w:p w14:paraId="459DA774" w14:textId="4C2DEEC6" w:rsidR="00A61995" w:rsidRDefault="00A61995" w:rsidP="006F3BCB">
      <w:pPr>
        <w:adjustRightInd w:val="0"/>
        <w:jc w:val="both"/>
        <w:rPr>
          <w:rFonts w:ascii="Book Antiqua" w:eastAsiaTheme="minorHAnsi" w:hAnsi="Book Antiqua" w:cs="TimesNewRomanPSMT"/>
          <w:b/>
          <w:sz w:val="24"/>
          <w:szCs w:val="24"/>
        </w:rPr>
      </w:pPr>
    </w:p>
    <w:p w14:paraId="6C089A40" w14:textId="3B9D1EDC" w:rsidR="00720D2B" w:rsidRDefault="00720D2B" w:rsidP="00720D2B">
      <w:pPr>
        <w:pStyle w:val="BodyText"/>
        <w:numPr>
          <w:ilvl w:val="0"/>
          <w:numId w:val="5"/>
        </w:numPr>
        <w:spacing w:before="6" w:line="360" w:lineRule="auto"/>
      </w:pPr>
      <w:r>
        <w:t xml:space="preserve">Bhattacharya, Neeladri. (1995). “Pastoralists in a Colonial World”, in David Arnold &amp; Ramachandra Guha, eds., Nature, Culture, Imperialism: Essays on the Environmental History of South Asia. Delhi: Oxford University Press. pp. 49-85. (Available in Hindi also) </w:t>
      </w:r>
    </w:p>
    <w:p w14:paraId="2F1113E6" w14:textId="77777777" w:rsidR="00720D2B" w:rsidRDefault="00720D2B" w:rsidP="00720D2B">
      <w:pPr>
        <w:pStyle w:val="BodyText"/>
        <w:numPr>
          <w:ilvl w:val="0"/>
          <w:numId w:val="5"/>
        </w:numPr>
        <w:spacing w:before="6" w:line="360" w:lineRule="auto"/>
      </w:pPr>
      <w:r>
        <w:t>Swaminathan, M S. (2008), ‘Agriculture on Spaceship Earth’, in Mahesh Rangarajan, ed., Environmental Issues in India. Delhi: Pearson. pp.161-183. (Available in Hindi also)</w:t>
      </w:r>
    </w:p>
    <w:p w14:paraId="3922BBF4" w14:textId="0DA34856" w:rsidR="00720D2B" w:rsidRDefault="00720D2B" w:rsidP="00720D2B">
      <w:pPr>
        <w:pStyle w:val="BodyText"/>
        <w:numPr>
          <w:ilvl w:val="0"/>
          <w:numId w:val="5"/>
        </w:numPr>
        <w:spacing w:before="6" w:line="360" w:lineRule="auto"/>
      </w:pPr>
      <w:r w:rsidRPr="00720D2B">
        <w:t xml:space="preserve">Burke III, Edmund. (2009), “The Big Story: Human History, Energy Regime and the Environment” in Edmund Burke III and Kenneth Pomeranz, eds., The Environment and World History. Berkeley: University of California Press. pp. 33-53. </w:t>
      </w:r>
    </w:p>
    <w:p w14:paraId="7FB5B552" w14:textId="77777777" w:rsidR="00720D2B" w:rsidRDefault="00720D2B" w:rsidP="00720D2B">
      <w:pPr>
        <w:pStyle w:val="BodyText"/>
        <w:numPr>
          <w:ilvl w:val="0"/>
          <w:numId w:val="5"/>
        </w:numPr>
        <w:spacing w:before="6" w:line="360" w:lineRule="auto"/>
      </w:pPr>
      <w:r w:rsidRPr="00720D2B">
        <w:t>Bulliet, Richard. (2005). Hunters, Herders and Hamburgers: The Past and Future of Human</w:t>
      </w:r>
      <w:r>
        <w:t>-</w:t>
      </w:r>
      <w:r w:rsidRPr="00720D2B">
        <w:t xml:space="preserve">Animal Relationships. New York: Colombia University Press. </w:t>
      </w:r>
    </w:p>
    <w:p w14:paraId="1E605803" w14:textId="25F1A730" w:rsidR="00720D2B" w:rsidRDefault="00720D2B" w:rsidP="00720D2B">
      <w:pPr>
        <w:pStyle w:val="BodyText"/>
        <w:numPr>
          <w:ilvl w:val="0"/>
          <w:numId w:val="5"/>
        </w:numPr>
        <w:spacing w:before="6" w:line="360" w:lineRule="auto"/>
      </w:pPr>
      <w:proofErr w:type="spellStart"/>
      <w:r>
        <w:t>Urry</w:t>
      </w:r>
      <w:proofErr w:type="spellEnd"/>
      <w:r>
        <w:t xml:space="preserve">, John. (2013). ‘The Century of Oil’, in Societies Beyond Oil: Oil Dregs and Social Futures. London: Zed Books. pp. 36-52. </w:t>
      </w:r>
    </w:p>
    <w:p w14:paraId="5CCD94FB" w14:textId="77777777" w:rsidR="00AB6ABE" w:rsidRDefault="00720D2B" w:rsidP="00720D2B">
      <w:pPr>
        <w:pStyle w:val="BodyText"/>
        <w:numPr>
          <w:ilvl w:val="0"/>
          <w:numId w:val="5"/>
        </w:numPr>
        <w:spacing w:before="6" w:line="360" w:lineRule="auto"/>
      </w:pPr>
      <w:r>
        <w:t>Crosby, Alfred W. (2006). Children of the Sun: A History of Humanity’s Unappeasable Appetite for Energy. New York: W. W. Norton. pp. 159-166 &amp; pp. 117-158.</w:t>
      </w:r>
      <w:r w:rsidR="00AB6ABE" w:rsidRPr="00AB6ABE">
        <w:t xml:space="preserve"> </w:t>
      </w:r>
    </w:p>
    <w:p w14:paraId="2341F78F" w14:textId="208E80E6" w:rsidR="00253920" w:rsidRDefault="00AB6ABE" w:rsidP="00720D2B">
      <w:pPr>
        <w:pStyle w:val="BodyText"/>
        <w:numPr>
          <w:ilvl w:val="0"/>
          <w:numId w:val="5"/>
        </w:numPr>
        <w:spacing w:before="6" w:line="360" w:lineRule="auto"/>
      </w:pPr>
      <w:r>
        <w:t xml:space="preserve">Crosby, Alfred W. (1988), “Ecological Imperialism: The Overseas Migration of Western Europeans as a Biological Phenomenon” in Donald </w:t>
      </w:r>
      <w:proofErr w:type="spellStart"/>
      <w:r>
        <w:t>Worster</w:t>
      </w:r>
      <w:proofErr w:type="spellEnd"/>
      <w:r>
        <w:t xml:space="preserve">, ed., The Ends of the </w:t>
      </w:r>
      <w:r w:rsidR="00253920">
        <w:t>Earth. New</w:t>
      </w:r>
      <w:r>
        <w:t xml:space="preserve"> York: Cambridge University Press. pp. 104-105. </w:t>
      </w:r>
    </w:p>
    <w:p w14:paraId="43535D4A" w14:textId="47F134D1" w:rsidR="00253920" w:rsidRDefault="00AB6ABE" w:rsidP="00720D2B">
      <w:pPr>
        <w:pStyle w:val="BodyText"/>
        <w:numPr>
          <w:ilvl w:val="0"/>
          <w:numId w:val="5"/>
        </w:numPr>
        <w:spacing w:before="6" w:line="360" w:lineRule="auto"/>
      </w:pPr>
      <w:r>
        <w:t xml:space="preserve"> Cronon, William. (1983</w:t>
      </w:r>
      <w:r w:rsidR="00253920">
        <w:t>). Changes</w:t>
      </w:r>
      <w:r>
        <w:t xml:space="preserve"> in the Land: Indians, Colonists and the Ecology of New </w:t>
      </w:r>
      <w:r w:rsidR="00253920">
        <w:t>England. New</w:t>
      </w:r>
      <w:r>
        <w:t xml:space="preserve"> York: Hill and Wang, pp.3-18. </w:t>
      </w:r>
    </w:p>
    <w:p w14:paraId="5F71E047" w14:textId="77777777" w:rsidR="00253920" w:rsidRDefault="00AB6ABE" w:rsidP="00720D2B">
      <w:pPr>
        <w:pStyle w:val="BodyText"/>
        <w:numPr>
          <w:ilvl w:val="0"/>
          <w:numId w:val="5"/>
        </w:numPr>
        <w:spacing w:before="6" w:line="360" w:lineRule="auto"/>
      </w:pPr>
      <w:r>
        <w:t>Crosby, Alfred W. (1967). “Conquistadory</w:t>
      </w:r>
      <w:r w:rsidR="00253920">
        <w:t xml:space="preserve"> </w:t>
      </w:r>
      <w:r>
        <w:t>Pestilencia: The First New World Pandemic and the Fall of the Great Indian Empires”. The Hispanic American Historical Review, Vol.47(No. 3), pp.321-337.</w:t>
      </w:r>
      <w:r w:rsidR="00253920" w:rsidRPr="00253920">
        <w:t xml:space="preserve"> </w:t>
      </w:r>
    </w:p>
    <w:p w14:paraId="05E7B421" w14:textId="66D3D8A6" w:rsidR="00253920" w:rsidRDefault="00253920" w:rsidP="00720D2B">
      <w:pPr>
        <w:pStyle w:val="BodyText"/>
        <w:numPr>
          <w:ilvl w:val="0"/>
          <w:numId w:val="5"/>
        </w:numPr>
        <w:spacing w:before="6" w:line="360" w:lineRule="auto"/>
      </w:pPr>
      <w:r>
        <w:t xml:space="preserve">Kroese, Ron. (2002). “Machine Logic: Industrializing Nature and Agriculture”, in Andrew Kimbrell, ed., The Fatal Harvest Reader: The Tragedy of Industrial </w:t>
      </w:r>
      <w:r>
        <w:lastRenderedPageBreak/>
        <w:t xml:space="preserve">Agriculture. London: Island Press. pp. 87-91 </w:t>
      </w:r>
    </w:p>
    <w:p w14:paraId="33E26488" w14:textId="77777777" w:rsidR="00253920" w:rsidRDefault="00253920" w:rsidP="00720D2B">
      <w:pPr>
        <w:pStyle w:val="BodyText"/>
        <w:numPr>
          <w:ilvl w:val="0"/>
          <w:numId w:val="5"/>
        </w:numPr>
        <w:spacing w:before="6" w:line="360" w:lineRule="auto"/>
      </w:pPr>
      <w:r>
        <w:t xml:space="preserve">McKittrick, Meredith. (2012). “Industrial Agriculture”, in J. R. McNeill &amp; E. S. Maudlin, eds., Companion to Global Environmental History. Oxford: Blackwell. pp. 411-432. </w:t>
      </w:r>
    </w:p>
    <w:p w14:paraId="30969B24" w14:textId="1CCA89A6" w:rsidR="00253920" w:rsidRDefault="00253920" w:rsidP="00720D2B">
      <w:pPr>
        <w:pStyle w:val="BodyText"/>
        <w:numPr>
          <w:ilvl w:val="0"/>
          <w:numId w:val="5"/>
        </w:numPr>
        <w:spacing w:before="6" w:line="360" w:lineRule="auto"/>
      </w:pPr>
      <w:r>
        <w:t xml:space="preserve">Agarwal, Bina. (1992). “The Gender and Environment Debate: Lessons from India”. Feminist Studies, Vol. 18(No. 1), pp. 119-158. </w:t>
      </w:r>
    </w:p>
    <w:p w14:paraId="61DBC485" w14:textId="77777777" w:rsidR="00253920" w:rsidRDefault="00253920" w:rsidP="00720D2B">
      <w:pPr>
        <w:pStyle w:val="BodyText"/>
        <w:numPr>
          <w:ilvl w:val="0"/>
          <w:numId w:val="5"/>
        </w:numPr>
        <w:spacing w:before="6" w:line="360" w:lineRule="auto"/>
      </w:pPr>
      <w:r>
        <w:t xml:space="preserve">Merchant, Carolyn. (2017). ‘Gender and Environmental History’, in J. R. McNeill and Alan Roe, eds., Global Environmental History. London: Routledge. pp. 82-87. </w:t>
      </w:r>
    </w:p>
    <w:p w14:paraId="503022BE" w14:textId="2450AB2C" w:rsidR="00253920" w:rsidRDefault="00253920" w:rsidP="00720D2B">
      <w:pPr>
        <w:pStyle w:val="BodyText"/>
        <w:numPr>
          <w:ilvl w:val="0"/>
          <w:numId w:val="5"/>
        </w:numPr>
        <w:spacing w:before="6" w:line="360" w:lineRule="auto"/>
      </w:pPr>
      <w:r>
        <w:t xml:space="preserve">Bauer, Jordan and Melosi, Martin V. (2012). “Cities and the Environment” in J. R. McNeill and E. S. Maudlin, eds., Companion to Environmental History. Oxford: Blackwell. pp. 360-376. </w:t>
      </w:r>
    </w:p>
    <w:p w14:paraId="6084FE9D" w14:textId="77777777" w:rsidR="00253920" w:rsidRDefault="00253920" w:rsidP="00720D2B">
      <w:pPr>
        <w:pStyle w:val="BodyText"/>
        <w:numPr>
          <w:ilvl w:val="0"/>
          <w:numId w:val="5"/>
        </w:numPr>
        <w:spacing w:before="6" w:line="360" w:lineRule="auto"/>
      </w:pPr>
      <w:r>
        <w:t xml:space="preserve">Heynen, Nik, Kaika, Maria and Swyngedouw, Erik. (2006). ‘Urban Political Ecology: Politicizing the production of Urban nature” in Nik Heynen et al. eds., In the Nature of Cities: Urban Political Ecology and Politics of Urban Metabolism. London: Routledge. pp. 1-19. </w:t>
      </w:r>
    </w:p>
    <w:p w14:paraId="070169D5" w14:textId="1CB444AB" w:rsidR="00253920" w:rsidRDefault="00253920" w:rsidP="00720D2B">
      <w:pPr>
        <w:pStyle w:val="BodyText"/>
        <w:numPr>
          <w:ilvl w:val="0"/>
          <w:numId w:val="5"/>
        </w:numPr>
        <w:spacing w:before="6" w:line="360" w:lineRule="auto"/>
      </w:pPr>
      <w:r>
        <w:t xml:space="preserve">White, Sam. (2012). ‘Climate Change in Global Environmental History’ in J. R. McNeill and E. S. Maudlin, eds., Companion to Environmental History. </w:t>
      </w:r>
      <w:r w:rsidR="00AD6F74">
        <w:t>Oxford: Blackwell</w:t>
      </w:r>
      <w:r>
        <w:t xml:space="preserve">. pp. 394-410. </w:t>
      </w:r>
    </w:p>
    <w:p w14:paraId="2BCE4C3A" w14:textId="77777777" w:rsidR="00253920" w:rsidRDefault="00253920" w:rsidP="00720D2B">
      <w:pPr>
        <w:pStyle w:val="BodyText"/>
        <w:numPr>
          <w:ilvl w:val="0"/>
          <w:numId w:val="5"/>
        </w:numPr>
        <w:spacing w:before="6" w:line="360" w:lineRule="auto"/>
      </w:pPr>
      <w:r>
        <w:t xml:space="preserve">Lewis, Simon L. and Maslin, Mark A. (2015). “Defining the Anthropocene”, Nature, Vol. 519, pp. 171-80. </w:t>
      </w:r>
    </w:p>
    <w:p w14:paraId="19D23ABE" w14:textId="77777777" w:rsidR="00253920" w:rsidRDefault="00253920" w:rsidP="00720D2B">
      <w:pPr>
        <w:pStyle w:val="BodyText"/>
        <w:numPr>
          <w:ilvl w:val="0"/>
          <w:numId w:val="5"/>
        </w:numPr>
        <w:spacing w:before="6" w:line="360" w:lineRule="auto"/>
      </w:pPr>
      <w:r>
        <w:t xml:space="preserve">Steffen, Will, Crutzen, Paul J. and McNeill, J. R. (2008). “The Anthropocene: Are Humans Now Overwhelming the Great Forces of Nature”. Ambio, Vol. 36(No,8), pp. 614-621 </w:t>
      </w:r>
    </w:p>
    <w:p w14:paraId="1DFF5B0D" w14:textId="4A0310B3" w:rsidR="00253920" w:rsidRDefault="00253920" w:rsidP="00720D2B">
      <w:pPr>
        <w:pStyle w:val="BodyText"/>
        <w:numPr>
          <w:ilvl w:val="0"/>
          <w:numId w:val="5"/>
        </w:numPr>
        <w:spacing w:before="6" w:line="360" w:lineRule="auto"/>
      </w:pPr>
      <w:r>
        <w:t xml:space="preserve">Moore Jason W. (ed.,) (2016) Anthropocene or Capitalocene? Nature, History and the Crisis of Capitalism. Oakland: PM Press. </w:t>
      </w:r>
    </w:p>
    <w:p w14:paraId="192DEF69" w14:textId="0B7837BF" w:rsidR="00A61995" w:rsidRPr="00720D2B" w:rsidRDefault="00253920" w:rsidP="00720D2B">
      <w:pPr>
        <w:pStyle w:val="BodyText"/>
        <w:numPr>
          <w:ilvl w:val="0"/>
          <w:numId w:val="5"/>
        </w:numPr>
        <w:spacing w:before="6" w:line="360" w:lineRule="auto"/>
      </w:pPr>
      <w:r>
        <w:t>Morrison, Kathleen D. (2015). “Provincializing the Anthropocene”. Seminar, Vol.673 (Sept), pp. 75-80.</w:t>
      </w:r>
    </w:p>
    <w:p w14:paraId="37E0AA84" w14:textId="3E864D3A" w:rsidR="00F8124F" w:rsidRDefault="00F8124F" w:rsidP="00720D2B">
      <w:pPr>
        <w:spacing w:line="360" w:lineRule="auto"/>
        <w:rPr>
          <w:sz w:val="24"/>
          <w:szCs w:val="24"/>
        </w:rPr>
      </w:pPr>
    </w:p>
    <w:p w14:paraId="6CACC066" w14:textId="226DAF5C" w:rsidR="001D5ABB" w:rsidRPr="001D5ABB" w:rsidRDefault="001D5ABB" w:rsidP="00471A59">
      <w:pPr>
        <w:spacing w:line="360" w:lineRule="auto"/>
        <w:rPr>
          <w:sz w:val="24"/>
          <w:szCs w:val="24"/>
        </w:rPr>
      </w:pPr>
    </w:p>
    <w:sectPr w:rsidR="001D5ABB" w:rsidRPr="001D5A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NewRomanPSMT">
    <w:altName w:val="MS Gothic"/>
    <w:panose1 w:val="00000000000000000000"/>
    <w:charset w:val="00"/>
    <w:family w:val="swiss"/>
    <w:notTrueType/>
    <w:pitch w:val="default"/>
    <w:sig w:usb0="00000003" w:usb1="08070000" w:usb2="00000010" w:usb3="00000000" w:csb0="0002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3424EA"/>
    <w:multiLevelType w:val="hybridMultilevel"/>
    <w:tmpl w:val="C99017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8047D61"/>
    <w:multiLevelType w:val="hybridMultilevel"/>
    <w:tmpl w:val="9A10D272"/>
    <w:lvl w:ilvl="0" w:tplc="73282B88">
      <w:numFmt w:val="bullet"/>
      <w:lvlText w:val="•"/>
      <w:lvlJc w:val="left"/>
      <w:pPr>
        <w:ind w:left="720" w:hanging="360"/>
      </w:pPr>
      <w:rPr>
        <w:rFonts w:hint="default"/>
        <w:w w:val="95"/>
        <w:lang w:val="en-US" w:eastAsia="en-US" w:bidi="ar-SA"/>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E6755FB"/>
    <w:multiLevelType w:val="singleLevel"/>
    <w:tmpl w:val="4E6755FB"/>
    <w:lvl w:ilvl="0">
      <w:start w:val="1"/>
      <w:numFmt w:val="bullet"/>
      <w:lvlText w:val=""/>
      <w:lvlJc w:val="left"/>
      <w:pPr>
        <w:tabs>
          <w:tab w:val="left" w:pos="420"/>
        </w:tabs>
        <w:ind w:left="420" w:hanging="420"/>
      </w:pPr>
      <w:rPr>
        <w:rFonts w:ascii="Wingdings" w:hAnsi="Wingdings" w:hint="default"/>
      </w:rPr>
    </w:lvl>
  </w:abstractNum>
  <w:abstractNum w:abstractNumId="3" w15:restartNumberingAfterBreak="0">
    <w:nsid w:val="6A9346D3"/>
    <w:multiLevelType w:val="hybridMultilevel"/>
    <w:tmpl w:val="949229B6"/>
    <w:lvl w:ilvl="0" w:tplc="73282B88">
      <w:numFmt w:val="bullet"/>
      <w:lvlText w:val="•"/>
      <w:lvlJc w:val="left"/>
      <w:pPr>
        <w:ind w:left="1181" w:hanging="360"/>
      </w:pPr>
      <w:rPr>
        <w:rFonts w:hint="default"/>
        <w:w w:val="95"/>
        <w:lang w:val="en-US" w:eastAsia="en-US" w:bidi="ar-SA"/>
      </w:rPr>
    </w:lvl>
    <w:lvl w:ilvl="1" w:tplc="85244D5A">
      <w:numFmt w:val="bullet"/>
      <w:lvlText w:val="•"/>
      <w:lvlJc w:val="left"/>
      <w:pPr>
        <w:ind w:left="1234" w:hanging="350"/>
      </w:pPr>
      <w:rPr>
        <w:rFonts w:hint="default"/>
        <w:w w:val="96"/>
        <w:lang w:val="en-US" w:eastAsia="en-US" w:bidi="ar-SA"/>
      </w:rPr>
    </w:lvl>
    <w:lvl w:ilvl="2" w:tplc="CB2CEB3A">
      <w:numFmt w:val="bullet"/>
      <w:lvlText w:val="•"/>
      <w:lvlJc w:val="left"/>
      <w:pPr>
        <w:ind w:left="1240" w:hanging="350"/>
      </w:pPr>
      <w:rPr>
        <w:rFonts w:hint="default"/>
        <w:lang w:val="en-US" w:eastAsia="en-US" w:bidi="ar-SA"/>
      </w:rPr>
    </w:lvl>
    <w:lvl w:ilvl="3" w:tplc="CE2C0892">
      <w:numFmt w:val="bullet"/>
      <w:lvlText w:val="•"/>
      <w:lvlJc w:val="left"/>
      <w:pPr>
        <w:ind w:left="2407" w:hanging="350"/>
      </w:pPr>
      <w:rPr>
        <w:rFonts w:hint="default"/>
        <w:lang w:val="en-US" w:eastAsia="en-US" w:bidi="ar-SA"/>
      </w:rPr>
    </w:lvl>
    <w:lvl w:ilvl="4" w:tplc="4076695E">
      <w:numFmt w:val="bullet"/>
      <w:lvlText w:val="•"/>
      <w:lvlJc w:val="left"/>
      <w:pPr>
        <w:ind w:left="3575" w:hanging="350"/>
      </w:pPr>
      <w:rPr>
        <w:rFonts w:hint="default"/>
        <w:lang w:val="en-US" w:eastAsia="en-US" w:bidi="ar-SA"/>
      </w:rPr>
    </w:lvl>
    <w:lvl w:ilvl="5" w:tplc="C9A457A6">
      <w:numFmt w:val="bullet"/>
      <w:lvlText w:val="•"/>
      <w:lvlJc w:val="left"/>
      <w:pPr>
        <w:ind w:left="4742" w:hanging="350"/>
      </w:pPr>
      <w:rPr>
        <w:rFonts w:hint="default"/>
        <w:lang w:val="en-US" w:eastAsia="en-US" w:bidi="ar-SA"/>
      </w:rPr>
    </w:lvl>
    <w:lvl w:ilvl="6" w:tplc="D76CFBAA">
      <w:numFmt w:val="bullet"/>
      <w:lvlText w:val="•"/>
      <w:lvlJc w:val="left"/>
      <w:pPr>
        <w:ind w:left="5910" w:hanging="350"/>
      </w:pPr>
      <w:rPr>
        <w:rFonts w:hint="default"/>
        <w:lang w:val="en-US" w:eastAsia="en-US" w:bidi="ar-SA"/>
      </w:rPr>
    </w:lvl>
    <w:lvl w:ilvl="7" w:tplc="66AAF716">
      <w:numFmt w:val="bullet"/>
      <w:lvlText w:val="•"/>
      <w:lvlJc w:val="left"/>
      <w:pPr>
        <w:ind w:left="7077" w:hanging="350"/>
      </w:pPr>
      <w:rPr>
        <w:rFonts w:hint="default"/>
        <w:lang w:val="en-US" w:eastAsia="en-US" w:bidi="ar-SA"/>
      </w:rPr>
    </w:lvl>
    <w:lvl w:ilvl="8" w:tplc="B7C491C2">
      <w:numFmt w:val="bullet"/>
      <w:lvlText w:val="•"/>
      <w:lvlJc w:val="left"/>
      <w:pPr>
        <w:ind w:left="8245" w:hanging="350"/>
      </w:pPr>
      <w:rPr>
        <w:rFonts w:hint="default"/>
        <w:lang w:val="en-US" w:eastAsia="en-US" w:bidi="ar-SA"/>
      </w:rPr>
    </w:lvl>
  </w:abstractNum>
  <w:abstractNum w:abstractNumId="4" w15:restartNumberingAfterBreak="0">
    <w:nsid w:val="79922AFD"/>
    <w:multiLevelType w:val="hybridMultilevel"/>
    <w:tmpl w:val="E940E3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12E"/>
    <w:rsid w:val="000C3E7E"/>
    <w:rsid w:val="00102969"/>
    <w:rsid w:val="00162C21"/>
    <w:rsid w:val="00184688"/>
    <w:rsid w:val="001A53D8"/>
    <w:rsid w:val="001B32AD"/>
    <w:rsid w:val="001B7069"/>
    <w:rsid w:val="001D5ABB"/>
    <w:rsid w:val="00253920"/>
    <w:rsid w:val="00353037"/>
    <w:rsid w:val="003B1521"/>
    <w:rsid w:val="003B6AFB"/>
    <w:rsid w:val="00455850"/>
    <w:rsid w:val="00457F1E"/>
    <w:rsid w:val="00471A59"/>
    <w:rsid w:val="0047621E"/>
    <w:rsid w:val="004A721A"/>
    <w:rsid w:val="005174B9"/>
    <w:rsid w:val="005650E9"/>
    <w:rsid w:val="005B6999"/>
    <w:rsid w:val="006D537E"/>
    <w:rsid w:val="006E338C"/>
    <w:rsid w:val="006F3BCB"/>
    <w:rsid w:val="00720D2B"/>
    <w:rsid w:val="007C12D0"/>
    <w:rsid w:val="00903532"/>
    <w:rsid w:val="00923D60"/>
    <w:rsid w:val="009509CE"/>
    <w:rsid w:val="00A61995"/>
    <w:rsid w:val="00A66866"/>
    <w:rsid w:val="00AA29A4"/>
    <w:rsid w:val="00AB6ABE"/>
    <w:rsid w:val="00AD6F74"/>
    <w:rsid w:val="00B4745C"/>
    <w:rsid w:val="00BF2650"/>
    <w:rsid w:val="00C17610"/>
    <w:rsid w:val="00D418B6"/>
    <w:rsid w:val="00D568D2"/>
    <w:rsid w:val="00DA2A7D"/>
    <w:rsid w:val="00E22AE5"/>
    <w:rsid w:val="00E52523"/>
    <w:rsid w:val="00EA64BF"/>
    <w:rsid w:val="00ED0FE6"/>
    <w:rsid w:val="00F8124F"/>
    <w:rsid w:val="00F8312E"/>
    <w:rsid w:val="00F974A7"/>
    <w:rsid w:val="00F976CF"/>
    <w:rsid w:val="00FA200C"/>
    <w:rsid w:val="00FA485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179EA"/>
  <w15:chartTrackingRefBased/>
  <w15:docId w15:val="{8BDB68BA-40BD-4018-ABBF-B13ADFC68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8D2"/>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923D6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unhideWhenUsed/>
    <w:qFormat/>
    <w:rsid w:val="00D568D2"/>
    <w:pPr>
      <w:ind w:left="100"/>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568D2"/>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qFormat/>
    <w:rsid w:val="00D568D2"/>
    <w:rPr>
      <w:sz w:val="24"/>
      <w:szCs w:val="24"/>
    </w:rPr>
  </w:style>
  <w:style w:type="character" w:customStyle="1" w:styleId="BodyTextChar">
    <w:name w:val="Body Text Char"/>
    <w:basedOn w:val="DefaultParagraphFont"/>
    <w:link w:val="BodyText"/>
    <w:uiPriority w:val="1"/>
    <w:rsid w:val="00D568D2"/>
    <w:rPr>
      <w:rFonts w:ascii="Times New Roman" w:eastAsia="Times New Roman" w:hAnsi="Times New Roman" w:cs="Times New Roman"/>
      <w:sz w:val="24"/>
      <w:szCs w:val="24"/>
      <w:lang w:val="en-US"/>
    </w:rPr>
  </w:style>
  <w:style w:type="paragraph" w:styleId="ListParagraph">
    <w:name w:val="List Paragraph"/>
    <w:basedOn w:val="Normal"/>
    <w:uiPriority w:val="1"/>
    <w:qFormat/>
    <w:rsid w:val="006F3BCB"/>
    <w:pPr>
      <w:ind w:left="720"/>
      <w:contextualSpacing/>
    </w:pPr>
  </w:style>
  <w:style w:type="character" w:customStyle="1" w:styleId="Heading1Char">
    <w:name w:val="Heading 1 Char"/>
    <w:basedOn w:val="DefaultParagraphFont"/>
    <w:link w:val="Heading1"/>
    <w:uiPriority w:val="9"/>
    <w:rsid w:val="00923D60"/>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1027</Words>
  <Characters>5855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MITHILESH  KUMAR MISHRA</dc:creator>
  <cp:keywords/>
  <dc:description/>
  <cp:lastModifiedBy>Rakesh Kumar</cp:lastModifiedBy>
  <cp:revision>3</cp:revision>
  <dcterms:created xsi:type="dcterms:W3CDTF">2022-03-26T05:18:00Z</dcterms:created>
  <dcterms:modified xsi:type="dcterms:W3CDTF">2022-03-26T07:35:00Z</dcterms:modified>
</cp:coreProperties>
</file>