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20" w:rsidRDefault="00742E20" w:rsidP="00742E20">
      <w:pPr>
        <w:jc w:val="center"/>
        <w:rPr>
          <w:rFonts w:ascii="Times New Roman" w:hAnsi="Times New Roman" w:cs="Times New Roman"/>
          <w:sz w:val="24"/>
          <w:szCs w:val="24"/>
        </w:rPr>
      </w:pPr>
      <w:r w:rsidRPr="00F34381">
        <w:rPr>
          <w:rFonts w:ascii="Times New Roman" w:hAnsi="Times New Roman" w:cs="Times New Roman"/>
          <w:sz w:val="24"/>
          <w:szCs w:val="24"/>
        </w:rPr>
        <w:t>Tea</w:t>
      </w:r>
      <w:r>
        <w:rPr>
          <w:rFonts w:ascii="Times New Roman" w:hAnsi="Times New Roman" w:cs="Times New Roman"/>
          <w:sz w:val="24"/>
          <w:szCs w:val="24"/>
        </w:rPr>
        <w:t>ching Plan for the session (2021-22</w:t>
      </w:r>
      <w:r w:rsidRPr="00F343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E20" w:rsidRPr="00F34381" w:rsidRDefault="00742E20" w:rsidP="00742E2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semester July 2021-December 2021</w:t>
      </w:r>
    </w:p>
    <w:p w:rsidR="00742E20" w:rsidRPr="00F34381" w:rsidRDefault="00742E20" w:rsidP="00742E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(BA History </w:t>
      </w:r>
      <w:proofErr w:type="spellStart"/>
      <w:r>
        <w:rPr>
          <w:rFonts w:ascii="Times New Roman" w:hAnsi="Times New Roman" w:cs="Times New Roman"/>
          <w:sz w:val="24"/>
          <w:szCs w:val="24"/>
        </w:rPr>
        <w:t>Hons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F34381">
        <w:rPr>
          <w:rFonts w:ascii="Times New Roman" w:hAnsi="Times New Roman" w:cs="Times New Roman"/>
          <w:sz w:val="24"/>
          <w:szCs w:val="24"/>
        </w:rPr>
        <w:t xml:space="preserve"> semester)</w:t>
      </w:r>
    </w:p>
    <w:p w:rsidR="00742E20" w:rsidRPr="0030306B" w:rsidRDefault="00742E20" w:rsidP="00742E20">
      <w:pPr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t xml:space="preserve">This paper is shared with </w:t>
      </w:r>
      <w:proofErr w:type="spellStart"/>
      <w:r w:rsidRPr="00FE1FC5">
        <w:rPr>
          <w:rFonts w:ascii="Times New Roman" w:hAnsi="Times New Roman" w:cs="Times New Roman"/>
          <w:b/>
          <w:sz w:val="24"/>
          <w:szCs w:val="24"/>
        </w:rPr>
        <w:t>Mr</w:t>
      </w:r>
      <w:proofErr w:type="spellEnd"/>
      <w:r w:rsidRPr="00FE1FC5">
        <w:rPr>
          <w:rFonts w:ascii="Times New Roman" w:hAnsi="Times New Roman" w:cs="Times New Roman"/>
          <w:b/>
          <w:sz w:val="24"/>
          <w:szCs w:val="24"/>
        </w:rPr>
        <w:t xml:space="preserve"> Levin </w:t>
      </w:r>
      <w:proofErr w:type="spellStart"/>
      <w:r w:rsidRPr="00FE1FC5">
        <w:rPr>
          <w:rFonts w:ascii="Times New Roman" w:hAnsi="Times New Roman" w:cs="Times New Roman"/>
          <w:b/>
          <w:sz w:val="24"/>
          <w:szCs w:val="24"/>
        </w:rPr>
        <w:t>n.r</w:t>
      </w:r>
      <w:proofErr w:type="spellEnd"/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</w:rPr>
        <w:t xml:space="preserve">PAPER:  </w:t>
      </w:r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>DSE-IV</w:t>
      </w: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>Gender in Indian History up to 1500 CE</w:t>
      </w: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742E20" w:rsidRPr="0030306B" w:rsidRDefault="00742E20" w:rsidP="00742E20">
      <w:pPr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t>SEMESTER: V</w:t>
      </w:r>
    </w:p>
    <w:p w:rsidR="00742E20" w:rsidRPr="0030306B" w:rsidRDefault="00742E20" w:rsidP="00742E20">
      <w:pPr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t>SESSION: 2021-22 (odd semester)</w:t>
      </w:r>
    </w:p>
    <w:p w:rsidR="00742E20" w:rsidRPr="0030306B" w:rsidRDefault="00742E20" w:rsidP="00742E20">
      <w:pPr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t>TEACHER NAME</w:t>
      </w:r>
      <w:r w:rsidRPr="00FE1FC5">
        <w:rPr>
          <w:rFonts w:ascii="Times New Roman" w:hAnsi="Times New Roman" w:cs="Times New Roman"/>
          <w:b/>
          <w:sz w:val="24"/>
          <w:szCs w:val="24"/>
        </w:rPr>
        <w:t xml:space="preserve">: Dr </w:t>
      </w:r>
      <w:proofErr w:type="spellStart"/>
      <w:r w:rsidRPr="00FE1FC5">
        <w:rPr>
          <w:rFonts w:ascii="Times New Roman" w:hAnsi="Times New Roman" w:cs="Times New Roman"/>
          <w:b/>
          <w:sz w:val="24"/>
          <w:szCs w:val="24"/>
        </w:rPr>
        <w:t>Madhuri</w:t>
      </w:r>
      <w:proofErr w:type="spellEnd"/>
      <w:r w:rsidRPr="00FE1FC5">
        <w:rPr>
          <w:rFonts w:ascii="Times New Roman" w:hAnsi="Times New Roman" w:cs="Times New Roman"/>
          <w:b/>
          <w:sz w:val="24"/>
          <w:szCs w:val="24"/>
        </w:rPr>
        <w:t xml:space="preserve"> Sharma</w:t>
      </w:r>
    </w:p>
    <w:p w:rsidR="00742E20" w:rsidRPr="0030306B" w:rsidRDefault="00742E20" w:rsidP="00742E20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t>SYLLABUS</w:t>
      </w: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>Unit I: Theories and concepts</w:t>
      </w: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[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a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>] Gender: a tool of historical analysis</w:t>
      </w: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[b] Understanding Origins and Structures of patriarchy</w:t>
      </w:r>
    </w:p>
    <w:p w:rsidR="0030306B" w:rsidRDefault="0030306B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>Unit II: Aspects of Gender: Politics, Power and Household</w:t>
      </w: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[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a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>] Economic and Social Roles: household, patronage and Property</w:t>
      </w: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[b] Women and Power: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Raẓiyya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Rudramadevi</w:t>
      </w:r>
      <w:proofErr w:type="spellEnd"/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[c] Questions of Sexualities</w:t>
      </w:r>
    </w:p>
    <w:p w:rsidR="0030306B" w:rsidRDefault="0030306B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>Unit III: Gender, Representation and Literature</w:t>
      </w: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[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a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] Religious Literature in the early period: Vedic, Buddhist and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Puranic</w:t>
      </w:r>
      <w:proofErr w:type="spellEnd"/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[b] Love and Manliness in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Hindawi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Romances; case studies of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Padmavat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Purushpariksha</w:t>
      </w:r>
      <w:proofErr w:type="spellEnd"/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and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histories of Mira [c] Representations of the Divine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Feminine:Virasaivism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WarkariPanths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Korravai-Durga</w:t>
      </w:r>
      <w:proofErr w:type="spellEnd"/>
      <w:r w:rsid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in Tamil Traditions</w:t>
      </w: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742E20" w:rsidRDefault="00742E20" w:rsidP="00742E20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06B">
        <w:rPr>
          <w:rFonts w:ascii="Times New Roman" w:hAnsi="Times New Roman" w:cs="Times New Roman"/>
          <w:b/>
          <w:sz w:val="24"/>
          <w:szCs w:val="24"/>
        </w:rPr>
        <w:t xml:space="preserve">COURSE DESCRIPTION </w:t>
      </w:r>
    </w:p>
    <w:p w:rsidR="0030306B" w:rsidRPr="0030306B" w:rsidRDefault="0030306B" w:rsidP="00742E20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E20" w:rsidRPr="0030306B" w:rsidRDefault="00742E20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The course teaches how ‘Gender’ is not an innocent term denoting biological differences but a</w:t>
      </w:r>
      <w:r w:rsid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social and culturally constructed unequal relationship that needs careful historical analysis in the</w:t>
      </w:r>
      <w:r w:rsid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context of Indian history. The focus is not merely on studying ‘women’s history’ but to go beyond</w:t>
      </w:r>
      <w:r w:rsid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and explore aspects of masculinities as well as alternative sexualities, spanning temporal</w:t>
      </w:r>
      <w:r w:rsid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frames from prehistory to 1500 CE. There is an added emphasis on learning inter-disciplinary</w:t>
      </w:r>
      <w:r w:rsid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analytical tools and frames of analysis concerning familiar topics such as class, caste, and environment</w:t>
      </w:r>
      <w:r w:rsid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that enriches an understanding of historical processes.</w:t>
      </w:r>
    </w:p>
    <w:p w:rsidR="00742E20" w:rsidRPr="0030306B" w:rsidRDefault="00742E20" w:rsidP="00742E20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en-IN"/>
        </w:rPr>
      </w:pPr>
    </w:p>
    <w:p w:rsidR="00742E20" w:rsidRPr="0030306B" w:rsidRDefault="00742E20" w:rsidP="00742E20">
      <w:pPr>
        <w:tabs>
          <w:tab w:val="left" w:pos="420"/>
        </w:tabs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30306B" w:rsidRDefault="0030306B" w:rsidP="00742E20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06B" w:rsidRDefault="0030306B" w:rsidP="00742E20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06B" w:rsidRPr="0030306B" w:rsidRDefault="00742E20" w:rsidP="00742E20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0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TEACHING TIME  </w:t>
      </w:r>
    </w:p>
    <w:p w:rsidR="0030306B" w:rsidRDefault="0030306B" w:rsidP="00742E20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E20" w:rsidRPr="0030306B" w:rsidRDefault="00742E20" w:rsidP="00742E20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</w:rPr>
        <w:t>(No.</w:t>
      </w:r>
      <w:proofErr w:type="gramEnd"/>
      <w:r w:rsidRPr="0030306B">
        <w:rPr>
          <w:rFonts w:ascii="Times New Roman" w:hAnsi="Times New Roman" w:cs="Times New Roman"/>
          <w:sz w:val="24"/>
          <w:szCs w:val="24"/>
        </w:rPr>
        <w:t xml:space="preserve"> Of Weeks) 16weeks- 5+1 credits</w:t>
      </w:r>
    </w:p>
    <w:p w:rsidR="00742E20" w:rsidRPr="0030306B" w:rsidRDefault="00742E20" w:rsidP="00742E20">
      <w:pPr>
        <w:tabs>
          <w:tab w:val="left" w:pos="420"/>
        </w:tabs>
        <w:ind w:left="420"/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t xml:space="preserve"> The six credit course will comprise of theory classes (five credits) and tutorials (one credit). </w:t>
      </w:r>
    </w:p>
    <w:p w:rsidR="00742E20" w:rsidRPr="0030306B" w:rsidRDefault="00742E20" w:rsidP="00742E20">
      <w:pPr>
        <w:tabs>
          <w:tab w:val="left" w:pos="420"/>
        </w:tabs>
        <w:ind w:left="420"/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t>Each credit is equivalent to one hour of class-room instruction per week</w:t>
      </w:r>
    </w:p>
    <w:p w:rsidR="00742E20" w:rsidRPr="0030306B" w:rsidRDefault="00742E20" w:rsidP="0030306B">
      <w:pPr>
        <w:tabs>
          <w:tab w:val="left" w:pos="420"/>
        </w:tabs>
        <w:ind w:left="420"/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t>Teaching plan is divided into 5Lectures + 3 Tutorials per week (8 hours per week)</w:t>
      </w:r>
    </w:p>
    <w:p w:rsidR="00742E20" w:rsidRPr="0030306B" w:rsidRDefault="00742E20" w:rsidP="00742E20">
      <w:pPr>
        <w:tabs>
          <w:tab w:val="left" w:pos="420"/>
        </w:tabs>
        <w:spacing w:after="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  <w:r w:rsidRPr="0030306B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CLASSES:  120 Classes</w:t>
      </w:r>
    </w:p>
    <w:p w:rsidR="00742E20" w:rsidRPr="0030306B" w:rsidRDefault="00742E20" w:rsidP="00742E20">
      <w:pPr>
        <w:rPr>
          <w:rFonts w:ascii="Times New Roman" w:eastAsia="Helvetica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742E20" w:rsidRPr="0030306B" w:rsidRDefault="00742E20" w:rsidP="00742E20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06B">
        <w:rPr>
          <w:rFonts w:ascii="Times New Roman" w:hAnsi="Times New Roman" w:cs="Times New Roman"/>
          <w:b/>
          <w:sz w:val="24"/>
          <w:szCs w:val="24"/>
        </w:rPr>
        <w:t>UNIT WISE BREAK UP OF SYLLABUS</w:t>
      </w:r>
    </w:p>
    <w:p w:rsidR="0030306B" w:rsidRDefault="0030306B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>Unit -1.</w:t>
      </w:r>
      <w:proofErr w:type="gramEnd"/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The unit should familiarise students with theoretical frames of gender and 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patriarchy</w:t>
      </w:r>
      <w:r w:rsidR="0030306B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and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how these concepts provide tools for historical analysis.</w:t>
      </w:r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>(Teaching time: 3 weeks Approx.)</w:t>
      </w:r>
    </w:p>
    <w:p w:rsidR="00FE1FC5" w:rsidRDefault="00FE1FC5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[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a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>] Gender: a tool of historical analysis</w:t>
      </w: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[b] Understanding Origins and Structures of patriarchy</w:t>
      </w: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742E20" w:rsidRPr="0030306B" w:rsidRDefault="00742E20" w:rsidP="00742E20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>Unit -2.</w:t>
      </w:r>
      <w:proofErr w:type="gramEnd"/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This section should apprise students to locate fluctuating gender relations within households,</w:t>
      </w:r>
      <w:r w:rsid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court and also explore linkages between gender, power and politics. Additionally discussion</w:t>
      </w:r>
      <w:r w:rsid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on the question of sexualities would open up vistas for a nuanced historical learning of normative</w:t>
      </w:r>
      <w:r w:rsid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and alternative sexualities as well as issues of masculinities. </w:t>
      </w:r>
      <w:proofErr w:type="gramStart"/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>(Teaching time: 6 weeks</w:t>
      </w:r>
      <w:r w:rsid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>Approx.)</w:t>
      </w:r>
      <w:proofErr w:type="gramEnd"/>
    </w:p>
    <w:p w:rsidR="0030306B" w:rsidRPr="0030306B" w:rsidRDefault="0030306B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a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>] Economic and Social Roles: household, patronage and Property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[b] Women and Power: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Raẓiyya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Rudramadevi</w:t>
      </w:r>
      <w:proofErr w:type="spellEnd"/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[c] Questions of Sexualities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>Unit -3.</w:t>
      </w:r>
      <w:proofErr w:type="gramEnd"/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The focus is on studying gender representation in literature that highlights the idea of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love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as well as manliness on the one hand and religiosity across temporal and regional spread on</w:t>
      </w:r>
    </w:p>
    <w:p w:rsid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the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other.</w:t>
      </w:r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>(Teaching time: 5 weeks Approx.)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[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a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] Religious Literature in the early period: Vedic, Buddhist and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Puranic</w:t>
      </w:r>
      <w:proofErr w:type="spellEnd"/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[b] Love and Manliness in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Hindawi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Romances; case studies of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Padmavat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Purushpariksha</w:t>
      </w:r>
      <w:proofErr w:type="spellEnd"/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and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histories of Mira [c] Representations of the Divine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Feminine:Virasaivism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WarkariPanths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Korravai-Durga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in Tamil Traditions</w:t>
      </w:r>
    </w:p>
    <w:p w:rsidR="00742E20" w:rsidRPr="0030306B" w:rsidRDefault="00742E20" w:rsidP="0030306B">
      <w:pPr>
        <w:rPr>
          <w:rFonts w:ascii="Times New Roman" w:hAnsi="Times New Roman" w:cs="Times New Roman"/>
          <w:sz w:val="24"/>
          <w:szCs w:val="24"/>
        </w:rPr>
      </w:pPr>
    </w:p>
    <w:p w:rsidR="00742E20" w:rsidRPr="0030306B" w:rsidRDefault="00742E20" w:rsidP="00742E20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06B">
        <w:rPr>
          <w:rFonts w:ascii="Times New Roman" w:hAnsi="Times New Roman" w:cs="Times New Roman"/>
          <w:b/>
          <w:sz w:val="24"/>
          <w:szCs w:val="24"/>
        </w:rPr>
        <w:t xml:space="preserve">ASSESSMENT </w:t>
      </w:r>
    </w:p>
    <w:p w:rsidR="00742E20" w:rsidRPr="0030306B" w:rsidRDefault="00742E20" w:rsidP="00742E20">
      <w:pPr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t xml:space="preserve">Internal Assessment: 25 Marks </w:t>
      </w:r>
    </w:p>
    <w:p w:rsidR="00742E20" w:rsidRPr="0030306B" w:rsidRDefault="00742E20" w:rsidP="00742E20">
      <w:pPr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t>Students will be regularly assessed for their grasp on debates and discussions covered in class. \</w:t>
      </w:r>
    </w:p>
    <w:p w:rsidR="00742E20" w:rsidRPr="0030306B" w:rsidRDefault="00742E20" w:rsidP="00742E20">
      <w:pPr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lastRenderedPageBreak/>
        <w:t>Two written submissions and at least one presentation will be used for final grading of the students.</w:t>
      </w:r>
    </w:p>
    <w:p w:rsidR="00742E20" w:rsidRPr="0030306B" w:rsidRDefault="00742E20" w:rsidP="00742E20">
      <w:pPr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t>Students will be assessed on their ability to engage with a sizeable corpus of readings assigned to the theme for written submissions,</w:t>
      </w:r>
    </w:p>
    <w:p w:rsidR="00742E20" w:rsidRPr="0030306B" w:rsidRDefault="00742E20" w:rsidP="00742E20">
      <w:pPr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306B">
        <w:rPr>
          <w:rFonts w:ascii="Times New Roman" w:hAnsi="Times New Roman" w:cs="Times New Roman"/>
          <w:sz w:val="24"/>
          <w:szCs w:val="24"/>
        </w:rPr>
        <w:t>i.e</w:t>
      </w:r>
      <w:proofErr w:type="gramEnd"/>
      <w:r w:rsidRPr="0030306B">
        <w:rPr>
          <w:rFonts w:ascii="Times New Roman" w:hAnsi="Times New Roman" w:cs="Times New Roman"/>
          <w:sz w:val="24"/>
          <w:szCs w:val="24"/>
        </w:rPr>
        <w:t>. being able to explain important historical trends and tracing historiography reflected in the assigned readings.</w:t>
      </w: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30306B">
        <w:rPr>
          <w:rFonts w:ascii="Times New Roman" w:hAnsi="Times New Roman" w:cs="Times New Roman"/>
          <w:b/>
          <w:sz w:val="24"/>
          <w:szCs w:val="24"/>
          <w:lang w:bidi="hi-IN"/>
        </w:rPr>
        <w:t>Learning Outcomes: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On completion of this course students shall be able to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• Explain critical concepts such as gender and patriarchy and demonstrate their use as tools for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historical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analysis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• Examine the role and functioning of power equations within social contexts in Indian history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during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the ancient period, in the construction of gender identities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• Critically examine representations of gender in literature, focusing on ideas of love, manliness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and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religiosity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• Examine the role of social and political patronage of art and literature in perpetuating gendered</w:t>
      </w:r>
    </w:p>
    <w:p w:rsidR="00742E20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Inequalities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F01586" w:rsidRDefault="0030306B">
      <w:pPr>
        <w:rPr>
          <w:rFonts w:ascii="Times New Roman" w:hAnsi="Times New Roman" w:cs="Times New Roman"/>
          <w:b/>
          <w:sz w:val="24"/>
          <w:szCs w:val="24"/>
        </w:rPr>
      </w:pPr>
      <w:r w:rsidRPr="0030306B">
        <w:rPr>
          <w:rFonts w:ascii="Times New Roman" w:hAnsi="Times New Roman" w:cs="Times New Roman"/>
          <w:b/>
          <w:sz w:val="24"/>
          <w:szCs w:val="24"/>
        </w:rPr>
        <w:t>Essential readings</w:t>
      </w:r>
    </w:p>
    <w:p w:rsidR="0030306B" w:rsidRDefault="003030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1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Geetha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V. (2002). </w:t>
      </w: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Gender.</w:t>
      </w:r>
      <w:proofErr w:type="gram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Calcutta: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Stree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Kent, Susan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Kingley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(2012).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Gender and History.</w:t>
      </w:r>
      <w:proofErr w:type="gram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New York: Palgrave McMillan. pp. 49-75.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Scott, J. W. (1986). “Gender a useful Category of Historical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Analysis”.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The</w:t>
      </w:r>
      <w:proofErr w:type="spell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American Historical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Review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vol.91/9, pp.1056-1075.</w:t>
      </w:r>
      <w:proofErr w:type="gramEnd"/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Lerner, G. (1979).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The Majority Finds its Past: Placing Women in History.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New York: Oxford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University Press.</w:t>
      </w:r>
      <w:proofErr w:type="gramEnd"/>
    </w:p>
    <w:p w:rsidR="0030306B" w:rsidRPr="0030306B" w:rsidRDefault="0030306B" w:rsidP="0030306B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Walby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, S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.(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>1990).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Theorizing Patriarchy.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Oxford: Basil Blackwell. 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pp.1-24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>, 109-127.</w:t>
      </w:r>
    </w:p>
    <w:p w:rsidR="0030306B" w:rsidRDefault="0030306B">
      <w:pPr>
        <w:rPr>
          <w:rFonts w:ascii="Times New Roman" w:hAnsi="Times New Roman" w:cs="Times New Roman"/>
          <w:b/>
          <w:sz w:val="24"/>
          <w:szCs w:val="24"/>
        </w:rPr>
      </w:pP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Unit 2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Bhattacharya, N.N. (1999). “Proprietary Rights of Women in Ancient India”,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Kumkum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,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Roy (Ed.). </w:t>
      </w: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Women in Early Indian Societies.</w:t>
      </w:r>
      <w:proofErr w:type="gram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Delhi: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Manohar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, pp.113-122.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Chakravarti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U. (2006).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Everyday Lives Every Day Histories: Beyond the Kings and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Brahmans of ‘Ancient’ India.</w:t>
      </w:r>
      <w:proofErr w:type="gram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Tulika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Books: New Delhi.138-155.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Jaiswal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Suvira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(2008). “Caste, Gender and Ideology in the making of India”.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Social Scientist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vol. 36, no. 1/2.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pp. 3-39.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• Shah, S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.(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2012). </w:t>
      </w: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The Making of Womanhood; Gender Relations in the Mahabharata.</w:t>
      </w:r>
      <w:proofErr w:type="gram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Revised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Edition, Delhi: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Manohar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, pp. 32-83.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Singh,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Snigdha</w:t>
      </w:r>
      <w:proofErr w:type="spellEnd"/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.(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2018). ‘‘Exploring the Question of Gender at an Early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Stupa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: Inscriptions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and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Images”’,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Snigdha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Singh et. 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Al. (Ed.).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Beyond the Woman Question: </w:t>
      </w: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Reconstructing</w:t>
      </w:r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Gendered</w:t>
      </w:r>
      <w:proofErr w:type="gram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Identities in Early India.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Delhi: Primus Books, pp. 21-62.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Tyagi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J. (2004). “Hierarchical Projections of Women in Household: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Brahmanical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Perceptions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Recorded in the Early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Grhyasutras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c.800-500BC”.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Social Scientist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vol. 32, no.5-6,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pp.3-20.</w:t>
      </w:r>
      <w:proofErr w:type="gramEnd"/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Gabbay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Alyssa. (2011). “In Reality a Man: Sultan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Iltutmish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His Daughter,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Raziya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, and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Gender Ambiguity in Thirteenth Century Northern India”.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Journal of </w:t>
      </w:r>
      <w:proofErr w:type="spell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Persianate</w:t>
      </w:r>
      <w:proofErr w:type="spell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Studies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,</w:t>
      </w:r>
    </w:p>
    <w:p w:rsidR="0030306B" w:rsidRPr="0030306B" w:rsidRDefault="0030306B" w:rsidP="0030306B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vol. 4, 45-63.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Roy, K. (2010). “Construction of Gender Relations in the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Rajatarangini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of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Kalhana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”;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“Gender Relations during the First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Millenium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: An Overview”, in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Kumkum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Roy,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The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Power of Gender and the Gender of Power, Explorations in Early Indian History,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New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Delhi: Oxford University Press, pp.142-164 and pp.195-222.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• Talbot, Cynthia. (1995). “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Rudramba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Devi 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The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Female King: Gender and Political authority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in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medieval India”. David </w:t>
      </w:r>
      <w:proofErr w:type="spellStart"/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Shulman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(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Ed.),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Syllables of the Sky: Studies in South Indian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Civilisation.</w:t>
      </w:r>
      <w:proofErr w:type="gram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OUP: New Delhi, pp.391-428.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Sahgal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Smita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. (2009-10). “Masculinity in Early India: Constructing an Embryonic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Frame”.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Proceedings of Indian History Congress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vol.70, pp. 151-163.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Zwilling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, L and M. Sweet. (1996). “Like a City Ablaze’: The Third Sex and the Creation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of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Sexuality in Jain Religious Literature.” </w:t>
      </w: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Journal of History of Sexuality.</w:t>
      </w:r>
      <w:proofErr w:type="gram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vol.6/3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>, pp.</w:t>
      </w:r>
    </w:p>
    <w:p w:rsid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359-384.</w:t>
      </w:r>
      <w:proofErr w:type="gramEnd"/>
    </w:p>
    <w:p w:rsidR="0030306B" w:rsidRDefault="0030306B">
      <w:pPr>
        <w:rPr>
          <w:rFonts w:ascii="Times New Roman" w:hAnsi="Times New Roman" w:cs="Times New Roman"/>
          <w:b/>
          <w:sz w:val="24"/>
          <w:szCs w:val="24"/>
        </w:rPr>
      </w:pPr>
    </w:p>
    <w:p w:rsidR="00FE1FC5" w:rsidRDefault="00FE1F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3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• Blackstone, R. K. (1998).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Women in the Footsteps of Buddha: Struggle for Liberation in the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Therigathas</w:t>
      </w:r>
      <w:proofErr w:type="spell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.</w:t>
      </w:r>
      <w:proofErr w:type="gram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Britain: Curzon Press.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Chitgopekar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, N. (2002). ‘Indian Goddess: Persevering and Antinomian Presences’; and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Kumkum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Roy. “Goddess in the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Rgveda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-An Investigation”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NilimaChitgopekar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(Ed.),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Invoking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Goddess, Gender Politics in Indian Religion.</w:t>
      </w:r>
      <w:proofErr w:type="gram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Delhi: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Shakti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Books, pp.11-61.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Chakrabarti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Kunal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(2001). “Introduction”.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The Religious Process: The </w:t>
      </w:r>
      <w:proofErr w:type="spell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Puranic</w:t>
      </w:r>
      <w:proofErr w:type="spell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and the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Making of a Religious Tradition.</w:t>
      </w:r>
      <w:proofErr w:type="gram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Delhi: Oxford University Press, pp.1-43.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Jha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Pankaj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(2019). ‘Political Ethics and the Art of Being a Man’.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Pankaj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Jha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A political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History of Literature: </w:t>
      </w:r>
      <w:proofErr w:type="spell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Vidyapati</w:t>
      </w:r>
      <w:proofErr w:type="spell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and the Fifteenth Century.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Delhi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:Oxford</w:t>
      </w:r>
      <w:proofErr w:type="spellEnd"/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University Press,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pp.133-183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Sreenivasan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Ramya</w:t>
      </w:r>
      <w:proofErr w:type="spellEnd"/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.(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>2003). “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Padmini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The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Ideal Queen: Sufi and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Rajput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Codes in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Malik</w:t>
      </w:r>
      <w:proofErr w:type="spellEnd"/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Muhammad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Jayasi's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Padmavat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”.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Vijaya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Ramaswamy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(Ed.),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Re-searching Indian Women.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New Delhi: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Manohar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, pp. 97-118.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Sangari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Kumkum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. (1990) “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Mirabai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and the Spiritual Economy of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Bhakti”.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Economic</w:t>
      </w:r>
      <w:proofErr w:type="spell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and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Political Weekly,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vol. 25/ 27.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July 7, pp. 1461-1475.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Mahalaksmi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, R. (2011). “Inscribing the Goddess: Female Deities in Early Medieval Inscriptions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from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Tamil Region”, R.,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Mahalakshmi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The Making of the Goddess: </w:t>
      </w:r>
      <w:proofErr w:type="spell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Korravai-Durga</w:t>
      </w:r>
      <w:proofErr w:type="spell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in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Tamil Traditions.</w:t>
      </w:r>
      <w:proofErr w:type="gram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New Delhi: Penguin Books India, pp. 156-98.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Ramaswamy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, V. (1997). “Rebels- House wives”; and “Women in and Out: Women within the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proofErr w:type="spellStart"/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WarkariPanths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”.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Vijaya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Ramaswamy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Walking Naked: Women and Spirituality in South India.</w:t>
      </w:r>
    </w:p>
    <w:p w:rsidR="00FE1FC5" w:rsidRPr="0030306B" w:rsidRDefault="00FE1FC5" w:rsidP="00FE1FC5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Simla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: Indian Institute of Advanced Study, pp.145-194; pp.195-230.</w:t>
      </w:r>
    </w:p>
    <w:p w:rsidR="00FE1FC5" w:rsidRPr="0030306B" w:rsidRDefault="00FE1FC5" w:rsidP="00FE1FC5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FE1FC5" w:rsidRPr="0030306B" w:rsidRDefault="00FE1FC5">
      <w:pPr>
        <w:rPr>
          <w:rFonts w:ascii="Times New Roman" w:hAnsi="Times New Roman" w:cs="Times New Roman"/>
          <w:b/>
          <w:sz w:val="24"/>
          <w:szCs w:val="24"/>
        </w:rPr>
      </w:pPr>
    </w:p>
    <w:sectPr w:rsidR="00FE1FC5" w:rsidRPr="0030306B" w:rsidSect="008D60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E20"/>
    <w:rsid w:val="0030306B"/>
    <w:rsid w:val="00742E20"/>
    <w:rsid w:val="00F01586"/>
    <w:rsid w:val="00FE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2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Sharma</dc:creator>
  <cp:keywords/>
  <dc:description/>
  <cp:lastModifiedBy>M Sharma</cp:lastModifiedBy>
  <cp:revision>2</cp:revision>
  <dcterms:created xsi:type="dcterms:W3CDTF">2022-03-26T07:03:00Z</dcterms:created>
  <dcterms:modified xsi:type="dcterms:W3CDTF">2022-03-26T07:26:00Z</dcterms:modified>
</cp:coreProperties>
</file>