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45" w:rsidRPr="00D70D18" w:rsidRDefault="00930745" w:rsidP="0093074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Even </w:t>
      </w:r>
      <w:r w:rsidRPr="00D70D18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proofErr w:type="gramEnd"/>
    </w:p>
    <w:p w:rsidR="00930745" w:rsidRPr="00D70D18" w:rsidRDefault="00930745" w:rsidP="0093074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D18">
        <w:rPr>
          <w:rFonts w:ascii="Times New Roman" w:hAnsi="Times New Roman" w:cs="Times New Roman"/>
          <w:sz w:val="24"/>
          <w:szCs w:val="24"/>
        </w:rPr>
        <w:t xml:space="preserve">Academic Session </w:t>
      </w:r>
      <w:r w:rsidR="000539C5">
        <w:rPr>
          <w:rFonts w:ascii="Times New Roman" w:hAnsi="Times New Roman" w:cs="Times New Roman"/>
          <w:sz w:val="24"/>
          <w:szCs w:val="24"/>
        </w:rPr>
        <w:t>January202</w:t>
      </w:r>
      <w:r>
        <w:rPr>
          <w:rFonts w:ascii="Times New Roman" w:hAnsi="Times New Roman" w:cs="Times New Roman"/>
          <w:sz w:val="24"/>
          <w:szCs w:val="24"/>
        </w:rPr>
        <w:t>-May</w:t>
      </w:r>
      <w:r w:rsidR="000539C5">
        <w:rPr>
          <w:rFonts w:ascii="Times New Roman" w:hAnsi="Times New Roman" w:cs="Times New Roman"/>
          <w:sz w:val="24"/>
          <w:szCs w:val="24"/>
        </w:rPr>
        <w:t xml:space="preserve"> 202</w:t>
      </w:r>
      <w:bookmarkStart w:id="0" w:name="_GoBack"/>
      <w:bookmarkEnd w:id="0"/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 w:rsidRPr="00D70D18">
        <w:rPr>
          <w:rFonts w:ascii="Times New Roman" w:hAnsi="Times New Roman" w:cs="Times New Roman"/>
        </w:rPr>
        <w:t>PAPER</w:t>
      </w:r>
      <w:r w:rsidRPr="00D70D18">
        <w:rPr>
          <w:rFonts w:ascii="Times New Roman" w:hAnsi="Times New Roman" w:cs="Times New Roman"/>
          <w:lang w:bidi="hi-IN"/>
        </w:rPr>
        <w:t>:</w:t>
      </w:r>
      <w:r>
        <w:rPr>
          <w:rFonts w:cstheme="minorBidi"/>
          <w:b/>
          <w:bCs/>
          <w:color w:val="auto"/>
          <w:sz w:val="23"/>
          <w:szCs w:val="23"/>
        </w:rPr>
        <w:t xml:space="preserve"> Issues in Twentieth Century World History-I (the 20th Century) </w:t>
      </w:r>
    </w:p>
    <w:p w:rsidR="00930745" w:rsidRPr="00D70D18" w:rsidRDefault="00930745" w:rsidP="0093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930745" w:rsidRPr="00D70D18" w:rsidRDefault="00930745" w:rsidP="0093074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70D18">
        <w:rPr>
          <w:rFonts w:ascii="Times New Roman" w:hAnsi="Times New Roman" w:cs="Times New Roman"/>
          <w:sz w:val="24"/>
          <w:szCs w:val="24"/>
        </w:rPr>
        <w:t>SEMESTER: V</w:t>
      </w:r>
    </w:p>
    <w:p w:rsidR="00930745" w:rsidRPr="00D70D18" w:rsidRDefault="00F855A0" w:rsidP="0093074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SESSION: 2020-20</w:t>
      </w:r>
      <w:r w:rsidR="00930745">
        <w:rPr>
          <w:rFonts w:ascii="Times New Roman" w:hAnsi="Times New Roman" w:cs="Times New Roman"/>
          <w:sz w:val="24"/>
          <w:szCs w:val="24"/>
        </w:rPr>
        <w:t xml:space="preserve"> (Even</w:t>
      </w:r>
      <w:r w:rsidR="00930745" w:rsidRPr="00D70D18">
        <w:rPr>
          <w:rFonts w:ascii="Times New Roman" w:hAnsi="Times New Roman" w:cs="Times New Roman"/>
          <w:sz w:val="24"/>
          <w:szCs w:val="24"/>
        </w:rPr>
        <w:t xml:space="preserve"> semester)</w:t>
      </w:r>
    </w:p>
    <w:p w:rsidR="00930745" w:rsidRPr="00D70D18" w:rsidRDefault="00930745" w:rsidP="0093074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D18">
        <w:rPr>
          <w:rFonts w:ascii="Times New Roman" w:hAnsi="Times New Roman" w:cs="Times New Roman"/>
          <w:sz w:val="24"/>
          <w:szCs w:val="24"/>
        </w:rPr>
        <w:t>TEACHER NAME</w:t>
      </w:r>
      <w:r w:rsidRPr="00D70D18">
        <w:rPr>
          <w:rFonts w:ascii="Times New Roman" w:hAnsi="Times New Roman" w:cs="Times New Roman"/>
          <w:b/>
          <w:sz w:val="24"/>
          <w:szCs w:val="24"/>
        </w:rPr>
        <w:t>: MR LEVIN N R</w:t>
      </w:r>
    </w:p>
    <w:p w:rsidR="00930745" w:rsidRDefault="00930745" w:rsidP="00930745">
      <w:pPr>
        <w:pStyle w:val="Default"/>
      </w:pPr>
    </w:p>
    <w:p w:rsidR="00930745" w:rsidRDefault="00930745" w:rsidP="00930745">
      <w:pPr>
        <w:pStyle w:val="Default"/>
      </w:pPr>
    </w:p>
    <w:p w:rsidR="00930745" w:rsidRDefault="00930745" w:rsidP="00930745">
      <w:pPr>
        <w:pStyle w:val="Default"/>
      </w:pPr>
    </w:p>
    <w:p w:rsidR="00930745" w:rsidRDefault="00930745" w:rsidP="00930745">
      <w:pPr>
        <w:pStyle w:val="Default"/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                                                                             DSE III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                               Issues in Twentieth Century World History-I (the 20th Century)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Objectives: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This course aims to provide an understanding of 20</w:t>
      </w:r>
      <w:r w:rsidRPr="00784727">
        <w:rPr>
          <w:rFonts w:ascii="FARTZG+TimesNewRomanPSMT" w:hAnsi="FARTZG+TimesNewRomanPSMT" w:cs="FARTZG+TimesNewRomanPSMT"/>
          <w:color w:val="auto"/>
          <w:sz w:val="16"/>
          <w:szCs w:val="16"/>
          <w:vertAlign w:val="superscript"/>
        </w:rPr>
        <w:t>th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century world history not as a history of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parts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individual nations but as an interconnected world history. The paper focuses on how the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world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changed in the first half of the twentieth century, from the World Wars to new radical and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social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movements. The course discusses how this world, ridden with conflict and violence, also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witnessed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growing desires for peace by through an organisation such as the United Nations. The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emphasis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is on taking up case studies to illustrate the processes and trends in society and culture.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Learning Outcomes: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On completion of this course, the student will be able to: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Define world history and explain the evolving polities.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Categorise the economies and cultures of the twentieth century world.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Define the making of the geopolitical order and ‘North-South’ distinctions.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Delineate the complex character of modernity and its differences.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Demonstrate critical skills to discuss and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analyze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diverse social movements and cultural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trends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Content: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I: The Concept and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Definition(</w:t>
      </w:r>
      <w:proofErr w:type="gramEnd"/>
      <w:r>
        <w:rPr>
          <w:rFonts w:cstheme="minorBidi"/>
          <w:b/>
          <w:bCs/>
          <w:color w:val="auto"/>
          <w:sz w:val="23"/>
          <w:szCs w:val="23"/>
        </w:rPr>
        <w:t>approx.2 weeks)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What is World History?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II: First World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War(</w:t>
      </w:r>
      <w:proofErr w:type="gramEnd"/>
      <w:r>
        <w:rPr>
          <w:rFonts w:cstheme="minorBidi"/>
          <w:b/>
          <w:bCs/>
          <w:color w:val="auto"/>
          <w:sz w:val="23"/>
          <w:szCs w:val="23"/>
        </w:rPr>
        <w:t>approx..3 weeks)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(a) Consequences in Europe and the world,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(b) League of Nations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III: 1917 Russian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Revolution(</w:t>
      </w:r>
      <w:proofErr w:type="gramEnd"/>
      <w:r>
        <w:rPr>
          <w:rFonts w:cstheme="minorBidi"/>
          <w:b/>
          <w:bCs/>
          <w:color w:val="auto"/>
          <w:sz w:val="23"/>
          <w:szCs w:val="23"/>
        </w:rPr>
        <w:t>approx..3 weeks)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(a) Formation of the USSR;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(b) Debates on socialism and the role of the Communist International (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Comintern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IV: Fascism and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Nazism(</w:t>
      </w:r>
      <w:proofErr w:type="gramEnd"/>
      <w:r>
        <w:rPr>
          <w:rFonts w:cstheme="minorBidi"/>
          <w:b/>
          <w:bCs/>
          <w:color w:val="auto"/>
          <w:sz w:val="23"/>
          <w:szCs w:val="23"/>
        </w:rPr>
        <w:t>aaprox.3 weeks)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Germany and Japan and Second World War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V: Modernity, Rights and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Democracy(</w:t>
      </w:r>
      <w:proofErr w:type="gramEnd"/>
      <w:r>
        <w:rPr>
          <w:rFonts w:cstheme="minorBidi"/>
          <w:b/>
          <w:bCs/>
          <w:color w:val="auto"/>
          <w:sz w:val="23"/>
          <w:szCs w:val="23"/>
        </w:rPr>
        <w:t>approx..5 weeks)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(a) The suffragette movement (England)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(b) Anti-colonial struggles (Indonesia)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(c) The formation of the United Nations </w:t>
      </w:r>
    </w:p>
    <w:p w:rsidR="00930745" w:rsidRDefault="00930745" w:rsidP="00930745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  <w:r>
        <w:rPr>
          <w:rFonts w:ascii="UBIOMD+HelveticaNeue" w:hAnsi="UBIOMD+HelveticaNeue" w:cs="UBIOMD+HelveticaNeue"/>
          <w:color w:val="auto"/>
          <w:sz w:val="23"/>
          <w:szCs w:val="23"/>
        </w:rPr>
        <w:t xml:space="preserve"> </w:t>
      </w: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(d) Art and politics (Picasso)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b/>
          <w:bCs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ESSENTIAL READINGS AND UNIT-WISE TEACHING OUTCOMES: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1: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shall introduce the students to the concept and definition of world history.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Krippner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-Martinez, J. (1995). “Teaching World History: Why We Should Start!”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History Teacher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29 (1), pp. 85-92. https://www.jstor.org/stable/494534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Christian, David. (2003). “World History in Context.”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Journal of World History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vol. 14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no.4, pp. 437-458. https://www.jstor.org/stable/20079239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Mazlish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Bruce. (1998). “Comparing Global History to World History”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Journal of Interdisciplinary History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vol. 28 no. 3, pp. 385-395.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https://www.jstor.org/stable/205420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Findley, Carter V. and John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Rothey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(2011).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USA: Wadsworth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Publishing.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will familiarize the students with the key consequences of the First World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War; including the formation of the League of Nations.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Merriman, J. (YEAR).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A History of Modern Europe: From Renaissance to the Present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.Volume 1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York, London: W.W. Norton (pp. 1011-1016; 1056-1077;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1083-1087).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Viking.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Findley, Carter V. and John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Rothey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(2011).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USA: Wadsworth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Publishing.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Henig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R. (1995).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Versailles and After 1919-1933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Lancaster Pamphlets Series. Second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edition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York, London: Routledge.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Sneh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930745" w:rsidRPr="00BB7633" w:rsidRDefault="00930745" w:rsidP="00930745">
      <w:pPr>
        <w:autoSpaceDE w:val="0"/>
        <w:autoSpaceDN w:val="0"/>
        <w:adjustRightInd w:val="0"/>
        <w:spacing w:after="0" w:line="240" w:lineRule="auto"/>
        <w:rPr>
          <w:rFonts w:ascii="AIEYPL+Symbol" w:hAnsi="AIEYPL+Symbol" w:cs="AIEYPL+Symbol"/>
          <w:color w:val="000000"/>
          <w:sz w:val="24"/>
          <w:szCs w:val="24"/>
        </w:rPr>
      </w:pPr>
    </w:p>
    <w:p w:rsidR="00930745" w:rsidRPr="00BB7633" w:rsidRDefault="00930745" w:rsidP="00930745">
      <w:pPr>
        <w:autoSpaceDE w:val="0"/>
        <w:autoSpaceDN w:val="0"/>
        <w:adjustRightInd w:val="0"/>
        <w:spacing w:after="0" w:line="240" w:lineRule="auto"/>
        <w:rPr>
          <w:rFonts w:ascii="AIEYPL+Symbol" w:hAnsi="AIEYPL+Symbol"/>
          <w:sz w:val="23"/>
          <w:szCs w:val="23"/>
        </w:rPr>
      </w:pPr>
      <w:r w:rsidRPr="00BB7633">
        <w:rPr>
          <w:rFonts w:ascii="AIEYPL+Symbol" w:hAnsi="AIEYPL+Symbol"/>
          <w:sz w:val="23"/>
          <w:szCs w:val="23"/>
        </w:rPr>
        <w:t>•</w:t>
      </w:r>
    </w:p>
    <w:p w:rsidR="00930745" w:rsidRPr="00BB7633" w:rsidRDefault="00930745" w:rsidP="00930745">
      <w:pPr>
        <w:autoSpaceDE w:val="0"/>
        <w:autoSpaceDN w:val="0"/>
        <w:adjustRightInd w:val="0"/>
        <w:spacing w:after="0" w:line="240" w:lineRule="auto"/>
        <w:rPr>
          <w:rFonts w:ascii="AIEYPL+Symbol" w:hAnsi="AIEYPL+Symbol"/>
          <w:sz w:val="24"/>
          <w:szCs w:val="24"/>
        </w:rPr>
      </w:pP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III: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will provide the students a broad outline of the history of the USSR post the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1917 October Revolution and shall familiarize them with the functioning of the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Comintern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WVCDKF+HelveticaNeue" w:hAnsi="WVCDKF+HelveticaNeue" w:cs="WVCDKF+HelveticaNeue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  <w:r>
        <w:rPr>
          <w:rFonts w:ascii="UBIOMD+HelveticaNeue" w:hAnsi="UBIOMD+HelveticaNeue" w:cs="UBIOMD+HelveticaNeue"/>
          <w:color w:val="auto"/>
          <w:sz w:val="23"/>
          <w:szCs w:val="23"/>
        </w:rPr>
        <w:t xml:space="preserve">59 </w:t>
      </w: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Nove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Alec. (1992). </w:t>
      </w:r>
      <w:proofErr w:type="gramStart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An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Economic History of the USSR 1917-1991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London: Penguin.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(1996).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Extremes. 1914-1991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New York: Vintage.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(2009). </w:t>
      </w:r>
      <w:proofErr w:type="gramStart"/>
      <w:r>
        <w:rPr>
          <w:rFonts w:cstheme="minorBidi"/>
          <w:color w:val="auto"/>
          <w:sz w:val="23"/>
          <w:szCs w:val="23"/>
        </w:rPr>
        <w:t>t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he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Age Of Extremes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अितरेकxकायुग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(translated in Hindi by Prakash Dixit). Mumbai and Meerut: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संवाद1काशन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1901-2000</w:t>
      </w:r>
      <w:r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  <w:t>.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New York: Viking.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Findley, Carter V. and John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Rothey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(2011).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USA: Wadsworth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Publishing.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Sneh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महाजnे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ह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२०१६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).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बीसवीशताGदीकाि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</w:t>
      </w:r>
      <w:proofErr w:type="spellEnd"/>
      <w:r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एकझलक</w:t>
      </w:r>
      <w:proofErr w:type="spell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भाग</w:t>
      </w:r>
      <w:proofErr w:type="spellEnd"/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२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)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लsमी1काशन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देशपांडे</w:t>
      </w:r>
      <w:proofErr w:type="spellEnd"/>
      <w:r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अिनtu</w:t>
      </w:r>
      <w:proofErr w:type="spellEnd"/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२०१४</w:t>
      </w:r>
      <w:r>
        <w:rPr>
          <w:rFonts w:ascii="NUEYKD+Helvetica" w:hAnsi="NUEYKD+Helvetica" w:cs="NUEYKD+Helvetica"/>
          <w:color w:val="auto"/>
          <w:sz w:val="23"/>
          <w:szCs w:val="23"/>
        </w:rPr>
        <w:t xml:space="preserve">). </w:t>
      </w:r>
      <w:r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इितहासके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1मुखमु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wे</w:t>
      </w:r>
      <w:proofErr w:type="spellEnd"/>
      <w:r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बदलतेआयाम</w:t>
      </w:r>
      <w:proofErr w:type="spellEnd"/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िव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)ालय1काशन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IV: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shall introduce the students to important case studies related to the growth of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fascism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post First World War. The Unit shall connect the discussion on fascism to the Second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World War.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(1996).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Extremes. 1914-1991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Vintage.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(2009).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Age </w:t>
      </w:r>
      <w:proofErr w:type="gramStart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Of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Extremes-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अितरेकxकायुग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translated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in Hindi by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Prakash Dixit). Mumbai and Meerut: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संवाद1काशन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Lee, Stephen J. (1982).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Aspects of European History 1789–1980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London, New York: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Routledge (Ch.22, Ch.23, Ch.24 and Ch.30).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Lee, Stephen J. (2008).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European Dictatorships 1918-1945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London, New York: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Routledge (Ch.5).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Fairbank, John K., et al. (1965).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East Asia: Modern Transformation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Boston: Houghton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Mifflin; </w:t>
      </w: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Highlighting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edition (section on militarism in Japan).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Duikar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William J. (2005)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 History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Third edition. USA: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Wadsworth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Cencgage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Learning.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Henig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R. (2005).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Origins of the Second World War 1933-1941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Lancaster Pamphlets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Series. Second edition. London, New York: Routledge.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1901-2000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York: Viking.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Sneh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महाजन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nेह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२०१६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बीसवीशताGदीकाि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एकझलक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(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भाग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-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lastRenderedPageBreak/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लsमी1काशन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देशपांडे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अिनtu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२०१४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इितहासके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1मुखमु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wे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बदलतेआयाम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िव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)ालय1काशन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WVCDKF+HelveticaNeue" w:hAnsi="WVCDKF+HelveticaNeue" w:cs="WVCDKF+HelveticaNeue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V: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shall highlight important trends in the development of modern political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movements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and institutions that unfolded in the first half of the twentieth century. The discussion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shall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evolve around specified case studies. </w:t>
      </w: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lastRenderedPageBreak/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Lang, Sean. (2005).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Parliamentary Reform 1789-1928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Second edition. London, New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York: Routledge. (Ch.8, “Votes for Women).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Thomson, D. (1990).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Europe </w:t>
      </w:r>
      <w:proofErr w:type="gramStart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Since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Napoleon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London: Penguin (Ch.32).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>Perry, Marvin et al. (2016).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Western Civilization: Ideas, Politics, and Society: Since 1400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Eleventh edition. Canada: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Cencgage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Learning (Ch. 27 – section on Picasso).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(1996).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Extremes. 1914-1991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Vintage.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(2009).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Age </w:t>
      </w:r>
      <w:proofErr w:type="gramStart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Of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Extremes-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अितरेकxकायुग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translated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in Hindi by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Prakash Dixit). Mumbai and Meerut: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संवाद1काशन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Duikar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William J. (2005)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 History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Third edition. USA: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Wadsworth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Cengage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Learning.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lastRenderedPageBreak/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1901-2000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York: Viking.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Sneh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महाजन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nेह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२०१६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बीसवीशता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Gदीकाि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एकझलक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(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भाग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-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लsमी1काशन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देशपांडे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अिनtu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२०१४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इितहासके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1मुखमु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wे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बदलतेआयाम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िव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)ालय1काशन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Suggested Readings: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Atkin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N. and M.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Biddis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Themes in Modern European History, 1890–1945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London, New York: Routledge (Ch.4, Ch.5, Ch.9 and Ch.10).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lastRenderedPageBreak/>
        <w:t xml:space="preserve">Ferguson, Niall. (2006).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War of the World: Twentieth-Century Conflict and the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Descent of the West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The Penguin Press.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Martel, G. (Ed.). (2006).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A Companion to Europe 1900-1945.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Malden, M.A. and Oxford: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Blackwell.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Wakeman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R. (Ed). (2003).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Themes in Modern European History Since 1945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New York: Routledge (Ch.1 and Ch.2).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Teaching Learning Process: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Classroom teaching on key concepts and discussions on important readings. As this is a paper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tracing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aspects of European/world history, supporting audio-visual aids like documentaries, maps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and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power point presentations shall be used widely. Overall, the Teaching Learning Process shall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focus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on providing a broad historical overview of the period and region under study. The process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shall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also delineate certain linkages and parallel developments in Indian history and the socio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economic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and cultural histories traced in this paper. This shall enable a smooth transition from </w:t>
      </w:r>
    </w:p>
    <w:p w:rsidR="00930745" w:rsidRDefault="00930745" w:rsidP="00930745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the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student’s prior engagement with Indian history and his/her engagement with history of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regions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outside the Indian subcontinent.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Assessment Methods: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Students will be regularly assessed for their grasp on debates and discussions covered in class.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Two written submissions and at least one presentation will be used for final grading of the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students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Internal Assessment: 25 Marks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Written Exam: 75 Marks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Total: 100 Marks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Keywords: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World History, First World war, Russian Revolution, Fascism, Nazism, Second World war,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Suffragette Movement, anti-colonial struggles, United Nations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/>
    <w:p w:rsidR="002D001B" w:rsidRDefault="002D001B"/>
    <w:sectPr w:rsidR="002D001B" w:rsidSect="00606CF7">
      <w:pgSz w:w="12240" w:h="1584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MQFDZ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RTZG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BIOMD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ZBA+TimesNewRomanPS-Italic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LHSEE+ArialUnicodeMS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IEYPL+Symbol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VCDKF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EYKD+Helvetica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45"/>
    <w:rsid w:val="000539C5"/>
    <w:rsid w:val="002D001B"/>
    <w:rsid w:val="00930745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236A5-502F-4DB3-8240-66CC98D0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0745"/>
    <w:pPr>
      <w:autoSpaceDE w:val="0"/>
      <w:autoSpaceDN w:val="0"/>
      <w:adjustRightInd w:val="0"/>
      <w:spacing w:after="0" w:line="240" w:lineRule="auto"/>
    </w:pPr>
    <w:rPr>
      <w:rFonts w:ascii="WMQFDZ+TimesNewRomanPS-BoldMT" w:hAnsi="WMQFDZ+TimesNewRomanPS-BoldMT" w:cs="WMQFDZ+TimesNewRomanPS-Bold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2022-03-26T13:43:00Z</dcterms:created>
  <dcterms:modified xsi:type="dcterms:W3CDTF">2022-03-26T13:54:00Z</dcterms:modified>
</cp:coreProperties>
</file>